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C7822" w14:textId="3CD9767E" w:rsidR="00501FA0" w:rsidRPr="00D42598" w:rsidRDefault="00D42598" w:rsidP="00D42598">
      <w:pPr>
        <w:pStyle w:val="NadpisMN"/>
        <w:spacing w:before="120" w:line="320" w:lineRule="exact"/>
        <w:contextualSpacing w:val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0334F">
        <w:rPr>
          <w:rFonts w:ascii="Times New Roman" w:hAnsi="Times New Roman" w:cs="Times New Roman"/>
          <w:color w:val="0070C0"/>
          <w:sz w:val="28"/>
          <w:szCs w:val="28"/>
        </w:rPr>
        <w:t>doplnění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k dokumentu „</w:t>
      </w:r>
      <w:r w:rsidRPr="00D42598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PŘEDPOKLÁDANÉ ZMĚNY VE STATISTICKÉM VÝKAZNICTVÍ ČNB OD ROKU 2024/2025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“ </w:t>
      </w:r>
      <w:r w:rsidR="00801586" w:rsidRPr="00D42598">
        <w:rPr>
          <w:rFonts w:ascii="Times New Roman" w:hAnsi="Times New Roman" w:cs="Times New Roman"/>
          <w:color w:val="0070C0"/>
          <w:sz w:val="28"/>
          <w:szCs w:val="28"/>
        </w:rPr>
        <w:t xml:space="preserve">v metodikách </w:t>
      </w:r>
      <w:r w:rsidR="00AB5434" w:rsidRPr="00D42598">
        <w:rPr>
          <w:rFonts w:ascii="Times New Roman" w:hAnsi="Times New Roman" w:cs="Times New Roman"/>
          <w:color w:val="0070C0"/>
          <w:sz w:val="28"/>
          <w:szCs w:val="28"/>
        </w:rPr>
        <w:t>FOFI20241201, FOFI20250101</w:t>
      </w:r>
      <w:r w:rsidR="00801586" w:rsidRPr="00D42598">
        <w:rPr>
          <w:rFonts w:ascii="Times New Roman" w:hAnsi="Times New Roman" w:cs="Times New Roman"/>
          <w:color w:val="0070C0"/>
          <w:sz w:val="28"/>
          <w:szCs w:val="28"/>
        </w:rPr>
        <w:t>, KT20241201, KT20250101, MKT20241201</w:t>
      </w:r>
      <w:r w:rsidR="00A5432F" w:rsidRPr="00D42598">
        <w:rPr>
          <w:rFonts w:ascii="Times New Roman" w:hAnsi="Times New Roman" w:cs="Times New Roman"/>
          <w:color w:val="0070C0"/>
          <w:sz w:val="28"/>
          <w:szCs w:val="28"/>
        </w:rPr>
        <w:t>, EBA rámce</w:t>
      </w:r>
      <w:r w:rsidR="0087709B">
        <w:rPr>
          <w:rFonts w:ascii="Times New Roman" w:hAnsi="Times New Roman" w:cs="Times New Roman"/>
          <w:color w:val="0070C0"/>
          <w:sz w:val="28"/>
          <w:szCs w:val="28"/>
        </w:rPr>
        <w:t xml:space="preserve"> pro OCP.</w:t>
      </w:r>
      <w:r w:rsidR="00E0334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1E385371" w14:textId="4699B79A" w:rsidR="00C32F7E" w:rsidRDefault="00C32F7E" w:rsidP="00C32F7E">
      <w:pPr>
        <w:jc w:val="both"/>
        <w:rPr>
          <w:color w:val="0070C0"/>
          <w:sz w:val="24"/>
          <w:szCs w:val="24"/>
        </w:rPr>
      </w:pPr>
      <w:r w:rsidRPr="00C32F7E">
        <w:rPr>
          <w:color w:val="0070C0"/>
          <w:sz w:val="24"/>
          <w:szCs w:val="24"/>
        </w:rPr>
        <w:t>Doplnění je v dokumentu doplněno touto barvou</w:t>
      </w:r>
      <w:r w:rsidR="00AF3689">
        <w:rPr>
          <w:color w:val="0070C0"/>
          <w:sz w:val="24"/>
          <w:szCs w:val="24"/>
        </w:rPr>
        <w:t>.</w:t>
      </w:r>
    </w:p>
    <w:p w14:paraId="182611D1" w14:textId="41D5AE61" w:rsidR="0040509B" w:rsidRDefault="00AF3689" w:rsidP="0040509B">
      <w:pPr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Doplnění je</w:t>
      </w:r>
      <w:r w:rsidR="0040509B">
        <w:rPr>
          <w:color w:val="0070C0"/>
          <w:sz w:val="24"/>
          <w:szCs w:val="24"/>
        </w:rPr>
        <w:t xml:space="preserve"> zpracované pro</w:t>
      </w:r>
      <w:r>
        <w:rPr>
          <w:color w:val="0070C0"/>
          <w:sz w:val="24"/>
          <w:szCs w:val="24"/>
        </w:rPr>
        <w:t xml:space="preserve"> metodiky</w:t>
      </w:r>
      <w:r w:rsidRPr="00AF3689">
        <w:t xml:space="preserve"> </w:t>
      </w:r>
      <w:r w:rsidRPr="00AF3689">
        <w:rPr>
          <w:color w:val="0070C0"/>
          <w:sz w:val="24"/>
          <w:szCs w:val="24"/>
        </w:rPr>
        <w:t>FOFI20241201</w:t>
      </w:r>
      <w:r w:rsidR="0040509B">
        <w:rPr>
          <w:color w:val="0070C0"/>
          <w:sz w:val="24"/>
          <w:szCs w:val="24"/>
        </w:rPr>
        <w:t>*</w:t>
      </w:r>
      <w:r w:rsidRPr="00AF3689">
        <w:rPr>
          <w:color w:val="0070C0"/>
          <w:sz w:val="24"/>
          <w:szCs w:val="24"/>
        </w:rPr>
        <w:t>, FOFI20250101</w:t>
      </w:r>
      <w:r w:rsidR="0040509B">
        <w:rPr>
          <w:color w:val="0070C0"/>
          <w:sz w:val="24"/>
          <w:szCs w:val="24"/>
        </w:rPr>
        <w:t>*</w:t>
      </w:r>
      <w:r w:rsidRPr="00AF3689">
        <w:rPr>
          <w:color w:val="0070C0"/>
          <w:sz w:val="24"/>
          <w:szCs w:val="24"/>
        </w:rPr>
        <w:t>, KT20241201, KT20250101, MKT20241201, EBA RÁMCE PRO OCP.</w:t>
      </w:r>
      <w:r w:rsidR="0040509B" w:rsidRPr="0040509B">
        <w:rPr>
          <w:color w:val="0070C0"/>
          <w:sz w:val="24"/>
          <w:szCs w:val="24"/>
        </w:rPr>
        <w:t xml:space="preserve"> </w:t>
      </w:r>
    </w:p>
    <w:p w14:paraId="3211415B" w14:textId="1285B540" w:rsidR="0040509B" w:rsidRPr="00D652E1" w:rsidRDefault="0040509B" w:rsidP="00BD4781">
      <w:pPr>
        <w:spacing w:after="0"/>
        <w:jc w:val="both"/>
        <w:rPr>
          <w:i/>
          <w:color w:val="0070C0"/>
          <w:szCs w:val="24"/>
        </w:rPr>
      </w:pPr>
      <w:r>
        <w:rPr>
          <w:color w:val="0070C0"/>
          <w:sz w:val="24"/>
          <w:szCs w:val="24"/>
        </w:rPr>
        <w:t>*</w:t>
      </w:r>
      <w:r w:rsidRPr="0040509B">
        <w:rPr>
          <w:i/>
          <w:color w:val="0070C0"/>
          <w:szCs w:val="24"/>
        </w:rPr>
        <w:t xml:space="preserve">Tento dokument neřeší oblast měnové a finanční statistiky výkazy </w:t>
      </w:r>
      <w:proofErr w:type="spellStart"/>
      <w:r w:rsidRPr="0040509B">
        <w:rPr>
          <w:i/>
          <w:color w:val="0070C0"/>
          <w:szCs w:val="24"/>
        </w:rPr>
        <w:t>RISIFIxy</w:t>
      </w:r>
      <w:proofErr w:type="spellEnd"/>
      <w:r w:rsidRPr="0040509B">
        <w:rPr>
          <w:i/>
          <w:color w:val="0070C0"/>
          <w:szCs w:val="24"/>
        </w:rPr>
        <w:t xml:space="preserve"> a TISIFI10 v metodice </w:t>
      </w:r>
      <w:r w:rsidRPr="00D652E1">
        <w:rPr>
          <w:i/>
          <w:color w:val="0070C0"/>
          <w:szCs w:val="24"/>
        </w:rPr>
        <w:t>FOFI20241201, FOFI20250101.</w:t>
      </w:r>
      <w:r w:rsidR="00BD4781">
        <w:rPr>
          <w:i/>
          <w:color w:val="0070C0"/>
          <w:szCs w:val="24"/>
        </w:rPr>
        <w:t xml:space="preserve"> </w:t>
      </w:r>
    </w:p>
    <w:p w14:paraId="6BF5F55B" w14:textId="7A1D2AD1" w:rsidR="0040509B" w:rsidRPr="002104C0" w:rsidRDefault="0040509B" w:rsidP="00BD4781">
      <w:pPr>
        <w:pStyle w:val="NadpisMN"/>
        <w:spacing w:before="0" w:line="320" w:lineRule="exact"/>
        <w:contextualSpacing w:val="0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p w14:paraId="20C1F3E0" w14:textId="17A02B61" w:rsidR="001C2BC8" w:rsidRDefault="001C2BC8" w:rsidP="00661430">
      <w:pPr>
        <w:keepNext/>
        <w:keepLines/>
        <w:spacing w:before="120" w:line="360" w:lineRule="auto"/>
        <w:jc w:val="both"/>
        <w:outlineLvl w:val="1"/>
        <w:rPr>
          <w:rFonts w:ascii="Cambria" w:eastAsia="SimSun" w:hAnsi="Cambria" w:cs="Times New Roman"/>
          <w:b/>
          <w:bCs/>
          <w:color w:val="1F497D"/>
          <w:sz w:val="26"/>
          <w:szCs w:val="26"/>
        </w:rPr>
      </w:pPr>
      <w:r w:rsidRPr="00B978E6">
        <w:rPr>
          <w:rFonts w:ascii="Cambria" w:eastAsia="SimSun" w:hAnsi="Cambria" w:cs="Times New Roman"/>
          <w:b/>
          <w:bCs/>
          <w:color w:val="1F497D"/>
          <w:sz w:val="26"/>
          <w:szCs w:val="26"/>
        </w:rPr>
        <w:t xml:space="preserve">Výkaznictví </w:t>
      </w:r>
      <w:r>
        <w:rPr>
          <w:rFonts w:ascii="Cambria" w:eastAsia="SimSun" w:hAnsi="Cambria" w:cs="Times New Roman"/>
          <w:b/>
          <w:bCs/>
          <w:color w:val="1F497D"/>
          <w:sz w:val="26"/>
          <w:szCs w:val="26"/>
        </w:rPr>
        <w:t>IS/IF</w:t>
      </w:r>
      <w:r w:rsidR="00B234EA">
        <w:rPr>
          <w:rFonts w:ascii="Cambria" w:eastAsia="SimSun" w:hAnsi="Cambria" w:cs="Times New Roman"/>
          <w:b/>
          <w:bCs/>
          <w:color w:val="1F497D"/>
          <w:sz w:val="26"/>
          <w:szCs w:val="26"/>
        </w:rPr>
        <w:t>:</w:t>
      </w:r>
      <w:r w:rsidRPr="00B978E6">
        <w:rPr>
          <w:rFonts w:ascii="Cambria" w:eastAsia="SimSun" w:hAnsi="Cambria" w:cs="Times New Roman"/>
          <w:b/>
          <w:bCs/>
          <w:color w:val="1F497D"/>
          <w:sz w:val="26"/>
          <w:szCs w:val="26"/>
        </w:rPr>
        <w:t xml:space="preserve"> </w:t>
      </w:r>
      <w:r w:rsidR="00801586" w:rsidRPr="00EC0AC9">
        <w:rPr>
          <w:rFonts w:ascii="Cambria" w:eastAsia="SimSun" w:hAnsi="Cambria" w:cs="Times New Roman"/>
          <w:b/>
          <w:bCs/>
          <w:color w:val="1F497D"/>
          <w:sz w:val="26"/>
          <w:szCs w:val="26"/>
        </w:rPr>
        <w:t>FOFI20241201, FOFI20250101</w:t>
      </w:r>
    </w:p>
    <w:p w14:paraId="2D83777C" w14:textId="2CDBB7DF" w:rsidR="0097516D" w:rsidRDefault="0097516D" w:rsidP="00661430">
      <w:pPr>
        <w:spacing w:before="120" w:line="360" w:lineRule="auto"/>
        <w:jc w:val="both"/>
        <w:rPr>
          <w:b/>
          <w:sz w:val="26"/>
          <w:szCs w:val="26"/>
        </w:rPr>
      </w:pPr>
      <w:r w:rsidRPr="002E31FD">
        <w:rPr>
          <w:b/>
          <w:sz w:val="26"/>
          <w:szCs w:val="26"/>
        </w:rPr>
        <w:t>Evropské výkaznictví</w:t>
      </w:r>
      <w:r>
        <w:rPr>
          <w:b/>
          <w:sz w:val="26"/>
          <w:szCs w:val="26"/>
        </w:rPr>
        <w:t xml:space="preserve"> </w:t>
      </w:r>
    </w:p>
    <w:p w14:paraId="16D8F146" w14:textId="7182B9E9" w:rsidR="006B226A" w:rsidRPr="008E5C85" w:rsidRDefault="006B226A" w:rsidP="008E5C85">
      <w:pPr>
        <w:spacing w:before="120" w:after="0" w:line="320" w:lineRule="exact"/>
        <w:jc w:val="both"/>
        <w:rPr>
          <w:b/>
          <w:sz w:val="24"/>
          <w:szCs w:val="24"/>
        </w:rPr>
      </w:pPr>
      <w:r w:rsidRPr="00F02E9D">
        <w:rPr>
          <w:b/>
          <w:sz w:val="24"/>
          <w:szCs w:val="24"/>
        </w:rPr>
        <w:t>AIFMD</w:t>
      </w:r>
      <w:r w:rsidR="00E0334F">
        <w:rPr>
          <w:b/>
          <w:sz w:val="24"/>
          <w:szCs w:val="24"/>
        </w:rPr>
        <w:t xml:space="preserve"> </w:t>
      </w:r>
      <w:r w:rsidR="00E0334F" w:rsidRPr="00E0334F">
        <w:rPr>
          <w:b/>
          <w:color w:val="0070C0"/>
          <w:sz w:val="24"/>
          <w:szCs w:val="24"/>
        </w:rPr>
        <w:t>doplnění</w:t>
      </w:r>
    </w:p>
    <w:p w14:paraId="5CEA7D15" w14:textId="1D93A879" w:rsidR="001625D4" w:rsidRPr="00EC0AC9" w:rsidRDefault="005B1217" w:rsidP="00661430">
      <w:pPr>
        <w:spacing w:before="120" w:after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V</w:t>
      </w:r>
      <w:r w:rsidR="008F766B" w:rsidRPr="00EC0AC9">
        <w:rPr>
          <w:color w:val="0070C0"/>
          <w:sz w:val="24"/>
          <w:szCs w:val="24"/>
        </w:rPr>
        <w:t xml:space="preserve"> metodice FOFI20241201 </w:t>
      </w:r>
      <w:r>
        <w:rPr>
          <w:color w:val="0070C0"/>
          <w:sz w:val="24"/>
          <w:szCs w:val="24"/>
        </w:rPr>
        <w:t xml:space="preserve">byla </w:t>
      </w:r>
      <w:r w:rsidR="001625D4" w:rsidRPr="00EC0AC9">
        <w:rPr>
          <w:color w:val="0070C0"/>
          <w:sz w:val="24"/>
          <w:szCs w:val="24"/>
        </w:rPr>
        <w:t>založena</w:t>
      </w:r>
      <w:r w:rsidR="008F766B" w:rsidRPr="00EC0AC9">
        <w:rPr>
          <w:color w:val="0070C0"/>
          <w:sz w:val="24"/>
          <w:szCs w:val="24"/>
        </w:rPr>
        <w:t xml:space="preserve"> </w:t>
      </w:r>
      <w:r w:rsidR="001625D4" w:rsidRPr="00EC0AC9">
        <w:rPr>
          <w:color w:val="0070C0"/>
          <w:sz w:val="24"/>
          <w:szCs w:val="24"/>
        </w:rPr>
        <w:t>varianta výkazů</w:t>
      </w:r>
      <w:r w:rsidR="008F766B" w:rsidRPr="00EC0AC9">
        <w:rPr>
          <w:color w:val="0070C0"/>
          <w:sz w:val="24"/>
          <w:szCs w:val="24"/>
        </w:rPr>
        <w:t xml:space="preserve"> </w:t>
      </w:r>
      <w:r w:rsidR="008F766B" w:rsidRPr="00EC0AC9">
        <w:rPr>
          <w:rFonts w:cstheme="minorHAnsi"/>
          <w:color w:val="0070C0"/>
          <w:sz w:val="24"/>
          <w:szCs w:val="24"/>
        </w:rPr>
        <w:t>OFZ (ČNB) 33-04 (ROFOS33) a OFZ (ČNB) 35-04 (ROFOS35) a rovněž OFZ (ČNB) 36-01 (ROFOS36) a OFZ (ČNB) 37-01 (ROFOS37)</w:t>
      </w:r>
      <w:r w:rsidR="003F0086" w:rsidRPr="00EC0AC9">
        <w:rPr>
          <w:color w:val="0070C0"/>
          <w:sz w:val="24"/>
          <w:szCs w:val="24"/>
        </w:rPr>
        <w:t xml:space="preserve">, výkazy nebyly </w:t>
      </w:r>
      <w:r>
        <w:rPr>
          <w:color w:val="0070C0"/>
          <w:sz w:val="24"/>
          <w:szCs w:val="24"/>
        </w:rPr>
        <w:t xml:space="preserve">nijak </w:t>
      </w:r>
      <w:r w:rsidR="003F0086" w:rsidRPr="00EC0AC9">
        <w:rPr>
          <w:color w:val="0070C0"/>
          <w:sz w:val="24"/>
          <w:szCs w:val="24"/>
        </w:rPr>
        <w:t>upraveny</w:t>
      </w:r>
      <w:r>
        <w:rPr>
          <w:color w:val="0070C0"/>
          <w:sz w:val="24"/>
          <w:szCs w:val="24"/>
        </w:rPr>
        <w:t>, varianta výkazů byla založena pro doplnění nových kontrol</w:t>
      </w:r>
      <w:r w:rsidR="003F0086" w:rsidRPr="00EC0AC9">
        <w:rPr>
          <w:color w:val="0070C0"/>
          <w:sz w:val="24"/>
          <w:szCs w:val="24"/>
        </w:rPr>
        <w:t>.</w:t>
      </w:r>
    </w:p>
    <w:p w14:paraId="2565490B" w14:textId="77777777" w:rsidR="00271E68" w:rsidRDefault="00271E68" w:rsidP="00661430">
      <w:pPr>
        <w:spacing w:before="120" w:line="320" w:lineRule="exact"/>
        <w:jc w:val="both"/>
        <w:rPr>
          <w:sz w:val="24"/>
          <w:szCs w:val="24"/>
        </w:rPr>
      </w:pPr>
    </w:p>
    <w:p w14:paraId="24C412C9" w14:textId="34A2D3F6" w:rsidR="00501FA0" w:rsidRDefault="00501FA0" w:rsidP="00661430">
      <w:pPr>
        <w:spacing w:line="360" w:lineRule="auto"/>
        <w:jc w:val="both"/>
        <w:rPr>
          <w:b/>
          <w:sz w:val="26"/>
          <w:szCs w:val="26"/>
        </w:rPr>
      </w:pPr>
      <w:r w:rsidRPr="00DE3A35">
        <w:rPr>
          <w:b/>
          <w:sz w:val="26"/>
          <w:szCs w:val="26"/>
        </w:rPr>
        <w:t>Národní výkaznictví</w:t>
      </w:r>
    </w:p>
    <w:p w14:paraId="34B811D1" w14:textId="5603F4F2" w:rsidR="00EB57A1" w:rsidRPr="002252D3" w:rsidRDefault="00EA1842" w:rsidP="00661430">
      <w:pPr>
        <w:pStyle w:val="Odstavecseseznamem"/>
        <w:numPr>
          <w:ilvl w:val="0"/>
          <w:numId w:val="15"/>
        </w:numPr>
        <w:spacing w:before="240"/>
        <w:ind w:left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Výkaz </w:t>
      </w:r>
      <w:r w:rsidR="00CB444A">
        <w:rPr>
          <w:b/>
          <w:bCs/>
          <w:sz w:val="24"/>
          <w:szCs w:val="24"/>
        </w:rPr>
        <w:t xml:space="preserve">DOFOS50 </w:t>
      </w:r>
      <w:r>
        <w:rPr>
          <w:b/>
          <w:bCs/>
          <w:sz w:val="24"/>
          <w:szCs w:val="24"/>
        </w:rPr>
        <w:t>OFZ (ČNB) 5</w:t>
      </w:r>
      <w:r w:rsidR="00EB57A1" w:rsidRPr="002252D3">
        <w:rPr>
          <w:b/>
          <w:bCs/>
          <w:sz w:val="24"/>
          <w:szCs w:val="24"/>
        </w:rPr>
        <w:t>0-04</w:t>
      </w:r>
      <w:r w:rsidR="00CB444A">
        <w:rPr>
          <w:b/>
          <w:bCs/>
          <w:sz w:val="24"/>
          <w:szCs w:val="24"/>
        </w:rPr>
        <w:t xml:space="preserve"> </w:t>
      </w:r>
      <w:r w:rsidR="00E0334F" w:rsidRPr="00E0334F">
        <w:rPr>
          <w:b/>
          <w:color w:val="0070C0"/>
          <w:sz w:val="24"/>
          <w:szCs w:val="24"/>
        </w:rPr>
        <w:t>doplnění</w:t>
      </w:r>
    </w:p>
    <w:p w14:paraId="2E345EDA" w14:textId="4BE8ABE8" w:rsidR="00411F55" w:rsidRPr="00EC0AC9" w:rsidRDefault="00EB57A1" w:rsidP="00661430">
      <w:pPr>
        <w:jc w:val="both"/>
        <w:rPr>
          <w:color w:val="0070C0"/>
          <w:sz w:val="24"/>
          <w:szCs w:val="24"/>
        </w:rPr>
      </w:pPr>
      <w:r w:rsidRPr="003656CF">
        <w:rPr>
          <w:sz w:val="24"/>
          <w:szCs w:val="24"/>
        </w:rPr>
        <w:t xml:space="preserve">Výkaz OFZ (ČNB) </w:t>
      </w:r>
      <w:r w:rsidR="00C20846" w:rsidRPr="003656CF">
        <w:rPr>
          <w:sz w:val="24"/>
          <w:szCs w:val="24"/>
        </w:rPr>
        <w:t>5</w:t>
      </w:r>
      <w:r w:rsidRPr="003656CF">
        <w:rPr>
          <w:sz w:val="24"/>
          <w:szCs w:val="24"/>
        </w:rPr>
        <w:t>0-04 „</w:t>
      </w:r>
      <w:r w:rsidR="00C20846" w:rsidRPr="003656CF">
        <w:rPr>
          <w:sz w:val="24"/>
          <w:szCs w:val="24"/>
        </w:rPr>
        <w:t>Souhrnné informace</w:t>
      </w:r>
      <w:r w:rsidR="00C739ED" w:rsidRPr="003656CF">
        <w:rPr>
          <w:sz w:val="24"/>
          <w:szCs w:val="24"/>
        </w:rPr>
        <w:t>“ b</w:t>
      </w:r>
      <w:r w:rsidR="00CB444A">
        <w:rPr>
          <w:sz w:val="24"/>
          <w:szCs w:val="24"/>
        </w:rPr>
        <w:t>yl</w:t>
      </w:r>
      <w:r w:rsidR="002A1EB0" w:rsidRPr="003656CF">
        <w:rPr>
          <w:sz w:val="24"/>
          <w:szCs w:val="24"/>
        </w:rPr>
        <w:t xml:space="preserve"> v</w:t>
      </w:r>
      <w:r w:rsidR="00FB45B5" w:rsidRPr="003656CF">
        <w:rPr>
          <w:sz w:val="24"/>
          <w:szCs w:val="24"/>
        </w:rPr>
        <w:t> metodice FOFI20241201</w:t>
      </w:r>
      <w:r w:rsidR="00C739ED" w:rsidRPr="003656CF">
        <w:rPr>
          <w:sz w:val="24"/>
          <w:szCs w:val="24"/>
        </w:rPr>
        <w:t xml:space="preserve"> upraven</w:t>
      </w:r>
      <w:r w:rsidR="00CB444A">
        <w:rPr>
          <w:sz w:val="24"/>
          <w:szCs w:val="24"/>
        </w:rPr>
        <w:t>.</w:t>
      </w:r>
      <w:r w:rsidR="00C739ED" w:rsidRPr="003656CF">
        <w:rPr>
          <w:sz w:val="24"/>
          <w:szCs w:val="24"/>
        </w:rPr>
        <w:t xml:space="preserve"> Významněji </w:t>
      </w:r>
      <w:r w:rsidR="00CB444A" w:rsidRPr="003656CF">
        <w:rPr>
          <w:sz w:val="24"/>
          <w:szCs w:val="24"/>
        </w:rPr>
        <w:t>b</w:t>
      </w:r>
      <w:r w:rsidR="00CB444A">
        <w:rPr>
          <w:sz w:val="24"/>
          <w:szCs w:val="24"/>
        </w:rPr>
        <w:t>yla</w:t>
      </w:r>
      <w:r w:rsidR="00CB444A" w:rsidRPr="003656CF">
        <w:rPr>
          <w:sz w:val="24"/>
          <w:szCs w:val="24"/>
        </w:rPr>
        <w:t xml:space="preserve"> </w:t>
      </w:r>
      <w:r w:rsidR="00C739ED" w:rsidRPr="003656CF">
        <w:rPr>
          <w:sz w:val="24"/>
          <w:szCs w:val="24"/>
        </w:rPr>
        <w:t>upravena datová oblast DOFO50_02, v datové oblasti DOFO50_06</w:t>
      </w:r>
      <w:r w:rsidR="00CB444A">
        <w:rPr>
          <w:sz w:val="24"/>
          <w:szCs w:val="24"/>
        </w:rPr>
        <w:t xml:space="preserve"> byla</w:t>
      </w:r>
      <w:r w:rsidR="00C739ED" w:rsidRPr="003656CF">
        <w:rPr>
          <w:sz w:val="24"/>
          <w:szCs w:val="24"/>
        </w:rPr>
        <w:t xml:space="preserve"> upravena hierarchie (kontroly </w:t>
      </w:r>
      <w:r w:rsidR="00CB444A">
        <w:rPr>
          <w:sz w:val="24"/>
          <w:szCs w:val="24"/>
        </w:rPr>
        <w:t>byly</w:t>
      </w:r>
      <w:r w:rsidR="00C739ED" w:rsidRPr="003656CF">
        <w:rPr>
          <w:sz w:val="24"/>
          <w:szCs w:val="24"/>
        </w:rPr>
        <w:t xml:space="preserve"> již</w:t>
      </w:r>
      <w:r w:rsidR="00830F5D" w:rsidRPr="004B683E">
        <w:rPr>
          <w:sz w:val="24"/>
          <w:szCs w:val="24"/>
        </w:rPr>
        <w:t xml:space="preserve"> takto</w:t>
      </w:r>
      <w:r w:rsidR="00C739ED" w:rsidRPr="0006230D">
        <w:rPr>
          <w:sz w:val="24"/>
          <w:szCs w:val="24"/>
        </w:rPr>
        <w:t xml:space="preserve"> nastaveny). B</w:t>
      </w:r>
      <w:r w:rsidR="00CB444A">
        <w:rPr>
          <w:sz w:val="24"/>
          <w:szCs w:val="24"/>
        </w:rPr>
        <w:t>yla</w:t>
      </w:r>
      <w:r w:rsidR="00C739ED" w:rsidRPr="0006230D">
        <w:rPr>
          <w:sz w:val="24"/>
          <w:szCs w:val="24"/>
        </w:rPr>
        <w:t xml:space="preserve"> vyprojektována nová datová ob</w:t>
      </w:r>
      <w:r w:rsidR="00C739ED" w:rsidRPr="003656CF">
        <w:rPr>
          <w:sz w:val="24"/>
          <w:szCs w:val="24"/>
        </w:rPr>
        <w:t>last DOFO50_07 - Informace týkající se udržitelnosti</w:t>
      </w:r>
      <w:r w:rsidR="00C739ED" w:rsidRPr="00EC0AC9">
        <w:rPr>
          <w:color w:val="0070C0"/>
          <w:sz w:val="24"/>
          <w:szCs w:val="24"/>
        </w:rPr>
        <w:t xml:space="preserve">. </w:t>
      </w:r>
      <w:r w:rsidR="001251CF" w:rsidRPr="00EC0AC9">
        <w:rPr>
          <w:color w:val="0070C0"/>
          <w:sz w:val="24"/>
          <w:szCs w:val="24"/>
        </w:rPr>
        <w:t>DO DOFO50_07 vyplňuje IS a SIF, nevyplňuje hlavní administrátor.</w:t>
      </w:r>
      <w:r w:rsidR="001251CF" w:rsidRPr="00EC0AC9">
        <w:rPr>
          <w:color w:val="0070C0"/>
        </w:rPr>
        <w:t xml:space="preserve"> </w:t>
      </w:r>
      <w:r w:rsidR="001251CF" w:rsidRPr="00EC0AC9">
        <w:rPr>
          <w:color w:val="0070C0"/>
          <w:sz w:val="24"/>
          <w:szCs w:val="24"/>
        </w:rPr>
        <w:t xml:space="preserve">Pro hlavního administrátora nebude tato datová </w:t>
      </w:r>
      <w:r w:rsidR="00EC0AC9" w:rsidRPr="00EC0AC9">
        <w:rPr>
          <w:color w:val="0070C0"/>
          <w:sz w:val="24"/>
          <w:szCs w:val="24"/>
        </w:rPr>
        <w:t>oblast</w:t>
      </w:r>
      <w:r w:rsidR="001251CF" w:rsidRPr="00EC0AC9">
        <w:rPr>
          <w:color w:val="0070C0"/>
          <w:sz w:val="24"/>
          <w:szCs w:val="24"/>
        </w:rPr>
        <w:t xml:space="preserve"> ve výskytu vygenerována (vygenerovaný výkaz pro Hlavního administrátora nebude tuto datovou oblast  obsahovat)</w:t>
      </w:r>
    </w:p>
    <w:p w14:paraId="44E4D0E8" w14:textId="53108CD1" w:rsidR="00C739ED" w:rsidRPr="00B24FD6" w:rsidRDefault="00FB45B5" w:rsidP="00661430">
      <w:pPr>
        <w:jc w:val="both"/>
        <w:rPr>
          <w:sz w:val="24"/>
          <w:szCs w:val="24"/>
        </w:rPr>
      </w:pPr>
      <w:r w:rsidRPr="00B24FD6">
        <w:rPr>
          <w:sz w:val="24"/>
          <w:szCs w:val="24"/>
        </w:rPr>
        <w:t xml:space="preserve">Metodice FOFI20250101 </w:t>
      </w:r>
      <w:r w:rsidR="00CB444A" w:rsidRPr="00B24FD6">
        <w:rPr>
          <w:sz w:val="24"/>
          <w:szCs w:val="24"/>
        </w:rPr>
        <w:t xml:space="preserve">byly </w:t>
      </w:r>
      <w:r w:rsidRPr="00B24FD6">
        <w:rPr>
          <w:sz w:val="24"/>
          <w:szCs w:val="24"/>
        </w:rPr>
        <w:t>doplněny tyto úpravy</w:t>
      </w:r>
      <w:r w:rsidR="00C739ED" w:rsidRPr="00B24FD6">
        <w:rPr>
          <w:sz w:val="24"/>
          <w:szCs w:val="24"/>
        </w:rPr>
        <w:t xml:space="preserve">: </w:t>
      </w:r>
    </w:p>
    <w:p w14:paraId="566C138A" w14:textId="77777777" w:rsidR="004D6186" w:rsidRPr="00B24FD6" w:rsidRDefault="004D6186" w:rsidP="0066143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 w:rsidRPr="00B24FD6">
        <w:rPr>
          <w:sz w:val="24"/>
          <w:szCs w:val="24"/>
        </w:rPr>
        <w:t>Zrušení polí s faxovým číslem.</w:t>
      </w:r>
    </w:p>
    <w:p w14:paraId="0B368887" w14:textId="75DB9331" w:rsidR="004D6186" w:rsidRPr="00B24FD6" w:rsidRDefault="004D6186" w:rsidP="00633906">
      <w:pPr>
        <w:pStyle w:val="Odstavecseseznamem"/>
        <w:numPr>
          <w:ilvl w:val="0"/>
          <w:numId w:val="25"/>
        </w:numPr>
        <w:jc w:val="both"/>
        <w:rPr>
          <w:color w:val="0070C0"/>
          <w:sz w:val="24"/>
          <w:szCs w:val="24"/>
        </w:rPr>
      </w:pPr>
      <w:r w:rsidRPr="00B24FD6">
        <w:rPr>
          <w:sz w:val="24"/>
          <w:szCs w:val="24"/>
        </w:rPr>
        <w:t>Změna datového typu s telefonním číslem</w:t>
      </w:r>
      <w:r w:rsidR="00370260" w:rsidRPr="00B24FD6">
        <w:rPr>
          <w:sz w:val="24"/>
          <w:szCs w:val="24"/>
        </w:rPr>
        <w:t xml:space="preserve"> </w:t>
      </w:r>
      <w:r w:rsidR="00370260" w:rsidRPr="00B24FD6">
        <w:rPr>
          <w:color w:val="0070C0"/>
          <w:sz w:val="24"/>
          <w:szCs w:val="24"/>
        </w:rPr>
        <w:t xml:space="preserve">na </w:t>
      </w:r>
      <w:r w:rsidR="00633906" w:rsidRPr="00B24FD6">
        <w:rPr>
          <w:color w:val="0070C0"/>
          <w:sz w:val="24"/>
          <w:szCs w:val="24"/>
        </w:rPr>
        <w:t>„an_26“</w:t>
      </w:r>
      <w:r w:rsidR="00370260" w:rsidRPr="00B24FD6">
        <w:rPr>
          <w:color w:val="0070C0"/>
          <w:sz w:val="24"/>
          <w:szCs w:val="24"/>
        </w:rPr>
        <w:t xml:space="preserve"> regulární výraz pro tel. č</w:t>
      </w:r>
      <w:r w:rsidR="00633906" w:rsidRPr="00B24FD6">
        <w:rPr>
          <w:color w:val="0070C0"/>
          <w:sz w:val="24"/>
          <w:szCs w:val="24"/>
        </w:rPr>
        <w:t>íslo \+[\d]{6,15}</w:t>
      </w:r>
      <w:r w:rsidR="00B15B5B" w:rsidRPr="00B24FD6">
        <w:rPr>
          <w:color w:val="0070C0"/>
          <w:sz w:val="24"/>
          <w:szCs w:val="24"/>
        </w:rPr>
        <w:t>.</w:t>
      </w:r>
    </w:p>
    <w:p w14:paraId="46204C07" w14:textId="6E3381E1" w:rsidR="004D6186" w:rsidRPr="00B24FD6" w:rsidRDefault="004D6186" w:rsidP="00623685">
      <w:pPr>
        <w:pStyle w:val="Odstavecseseznamem"/>
        <w:numPr>
          <w:ilvl w:val="0"/>
          <w:numId w:val="25"/>
        </w:numPr>
        <w:jc w:val="both"/>
        <w:rPr>
          <w:color w:val="0070C0"/>
          <w:sz w:val="24"/>
          <w:szCs w:val="24"/>
        </w:rPr>
      </w:pPr>
      <w:r w:rsidRPr="00B24FD6">
        <w:rPr>
          <w:sz w:val="24"/>
          <w:szCs w:val="24"/>
        </w:rPr>
        <w:t xml:space="preserve">Tituly se </w:t>
      </w:r>
      <w:r w:rsidR="00EC0AC9" w:rsidRPr="00B24FD6">
        <w:rPr>
          <w:sz w:val="24"/>
          <w:szCs w:val="24"/>
        </w:rPr>
        <w:t xml:space="preserve">staly </w:t>
      </w:r>
      <w:r w:rsidRPr="00B24FD6">
        <w:rPr>
          <w:sz w:val="24"/>
          <w:szCs w:val="24"/>
        </w:rPr>
        <w:t xml:space="preserve">nepovinnými poli (zároveň </w:t>
      </w:r>
      <w:r w:rsidR="00EC0AC9" w:rsidRPr="00B24FD6">
        <w:rPr>
          <w:sz w:val="24"/>
          <w:szCs w:val="24"/>
        </w:rPr>
        <w:t>došlo</w:t>
      </w:r>
      <w:r w:rsidRPr="00B24FD6">
        <w:rPr>
          <w:sz w:val="24"/>
          <w:szCs w:val="24"/>
        </w:rPr>
        <w:t xml:space="preserve"> ke změně z parametru na ukazatel)</w:t>
      </w:r>
      <w:r w:rsidR="0027621B" w:rsidRPr="00B24FD6">
        <w:rPr>
          <w:sz w:val="24"/>
          <w:szCs w:val="24"/>
        </w:rPr>
        <w:t>.</w:t>
      </w:r>
      <w:r w:rsidR="005C4B29" w:rsidRPr="00B24FD6">
        <w:rPr>
          <w:sz w:val="24"/>
          <w:szCs w:val="24"/>
        </w:rPr>
        <w:t xml:space="preserve"> </w:t>
      </w:r>
      <w:r w:rsidR="005C4B29" w:rsidRPr="00B24FD6">
        <w:rPr>
          <w:color w:val="0070C0"/>
          <w:sz w:val="24"/>
          <w:szCs w:val="24"/>
        </w:rPr>
        <w:t>Dále bylo u</w:t>
      </w:r>
      <w:r w:rsidR="0036240E" w:rsidRPr="00B24FD6">
        <w:rPr>
          <w:color w:val="0070C0"/>
          <w:sz w:val="24"/>
          <w:szCs w:val="24"/>
        </w:rPr>
        <w:t>praveno pořadí polí v DO.</w:t>
      </w:r>
    </w:p>
    <w:p w14:paraId="6F0DC0BC" w14:textId="75FE35B1" w:rsidR="00EB57A1" w:rsidRPr="002252D3" w:rsidRDefault="0026501E" w:rsidP="00661430">
      <w:pPr>
        <w:pStyle w:val="Odstavecseseznamem"/>
        <w:numPr>
          <w:ilvl w:val="0"/>
          <w:numId w:val="15"/>
        </w:numPr>
        <w:ind w:left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DOFOS70 </w:t>
      </w:r>
      <w:r w:rsidR="00EB57A1" w:rsidRPr="002252D3">
        <w:rPr>
          <w:b/>
          <w:bCs/>
          <w:sz w:val="24"/>
          <w:szCs w:val="24"/>
        </w:rPr>
        <w:t xml:space="preserve">Výkaz OFZ (ČNB) 70-01 </w:t>
      </w:r>
      <w:r w:rsidR="0083643C" w:rsidRPr="0083643C">
        <w:rPr>
          <w:b/>
          <w:bCs/>
          <w:color w:val="0070C0"/>
          <w:sz w:val="24"/>
          <w:szCs w:val="24"/>
        </w:rPr>
        <w:t>beze změny</w:t>
      </w:r>
    </w:p>
    <w:p w14:paraId="11AD1B83" w14:textId="7A4C5807" w:rsidR="00037F64" w:rsidRDefault="00EB57A1" w:rsidP="0066143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Výkaz OFZ (ČNB) 70-01 „</w:t>
      </w:r>
      <w:r w:rsidR="0046445E">
        <w:rPr>
          <w:sz w:val="24"/>
          <w:szCs w:val="24"/>
        </w:rPr>
        <w:t>Klíčové informace“ b</w:t>
      </w:r>
      <w:r w:rsidR="003B513C">
        <w:rPr>
          <w:sz w:val="24"/>
          <w:szCs w:val="24"/>
        </w:rPr>
        <w:t>yl</w:t>
      </w:r>
      <w:r w:rsidR="0046445E">
        <w:rPr>
          <w:sz w:val="24"/>
          <w:szCs w:val="24"/>
        </w:rPr>
        <w:t xml:space="preserve"> upraven v</w:t>
      </w:r>
      <w:r w:rsidR="00FB45B5">
        <w:rPr>
          <w:sz w:val="24"/>
          <w:szCs w:val="24"/>
        </w:rPr>
        <w:t> metodice FOFI20241201</w:t>
      </w:r>
      <w:r w:rsidR="003B513C">
        <w:rPr>
          <w:sz w:val="24"/>
          <w:szCs w:val="24"/>
        </w:rPr>
        <w:t xml:space="preserve">. </w:t>
      </w:r>
      <w:r w:rsidR="0046445E">
        <w:rPr>
          <w:sz w:val="24"/>
          <w:szCs w:val="24"/>
        </w:rPr>
        <w:t xml:space="preserve">V datové </w:t>
      </w:r>
      <w:r w:rsidR="00037F64">
        <w:rPr>
          <w:sz w:val="24"/>
          <w:szCs w:val="24"/>
        </w:rPr>
        <w:t xml:space="preserve">oblasti </w:t>
      </w:r>
      <w:r w:rsidR="0046445E">
        <w:rPr>
          <w:sz w:val="24"/>
          <w:szCs w:val="24"/>
        </w:rPr>
        <w:t>DOFO70_01 b</w:t>
      </w:r>
      <w:r w:rsidR="003B513C">
        <w:rPr>
          <w:sz w:val="24"/>
          <w:szCs w:val="24"/>
        </w:rPr>
        <w:t>yl</w:t>
      </w:r>
      <w:r w:rsidR="0046445E">
        <w:rPr>
          <w:sz w:val="24"/>
          <w:szCs w:val="24"/>
        </w:rPr>
        <w:t xml:space="preserve"> doplněn sloupec</w:t>
      </w:r>
      <w:r w:rsidR="0046445E" w:rsidRPr="0046445E">
        <w:t xml:space="preserve"> </w:t>
      </w:r>
      <w:r w:rsidR="0046445E">
        <w:t>„</w:t>
      </w:r>
      <w:r w:rsidR="0046445E" w:rsidRPr="0046445E">
        <w:rPr>
          <w:sz w:val="24"/>
          <w:szCs w:val="24"/>
        </w:rPr>
        <w:t>Zohledňování PAI</w:t>
      </w:r>
      <w:r w:rsidR="00037F64">
        <w:rPr>
          <w:sz w:val="24"/>
          <w:szCs w:val="24"/>
        </w:rPr>
        <w:t>“, který může nabývat hodnoty</w:t>
      </w:r>
      <w:r w:rsidR="00037F64" w:rsidRPr="00037F64">
        <w:rPr>
          <w:sz w:val="24"/>
          <w:szCs w:val="24"/>
        </w:rPr>
        <w:t xml:space="preserve"> ANO/NE. </w:t>
      </w:r>
      <w:r w:rsidR="00037F64">
        <w:rPr>
          <w:sz w:val="24"/>
          <w:szCs w:val="24"/>
        </w:rPr>
        <w:t>„ANO“ se vyplní,</w:t>
      </w:r>
      <w:r w:rsidR="00037F64" w:rsidRPr="00037F64">
        <w:rPr>
          <w:sz w:val="24"/>
          <w:szCs w:val="24"/>
        </w:rPr>
        <w:t xml:space="preserve"> pokud produkt zohledňuje hlavní nepříznivé dopady</w:t>
      </w:r>
      <w:r w:rsidR="00037F64">
        <w:rPr>
          <w:sz w:val="24"/>
          <w:szCs w:val="24"/>
        </w:rPr>
        <w:t xml:space="preserve"> (PAI) na faktory udržitelnosti. V</w:t>
      </w:r>
      <w:r w:rsidR="00037F64" w:rsidRPr="00037F64">
        <w:rPr>
          <w:sz w:val="24"/>
          <w:szCs w:val="24"/>
        </w:rPr>
        <w:t>ypln</w:t>
      </w:r>
      <w:r w:rsidR="00037F64">
        <w:rPr>
          <w:sz w:val="24"/>
          <w:szCs w:val="24"/>
        </w:rPr>
        <w:t>í</w:t>
      </w:r>
      <w:r w:rsidR="00037F64" w:rsidRPr="00037F64">
        <w:rPr>
          <w:sz w:val="24"/>
          <w:szCs w:val="24"/>
        </w:rPr>
        <w:t xml:space="preserve"> se „NE“, pokud produkt hlavní nepříznivé dopady (PAI) na faktory udržitelnosti nezohledňuje.</w:t>
      </w:r>
      <w:r w:rsidR="00037F64">
        <w:rPr>
          <w:sz w:val="24"/>
          <w:szCs w:val="24"/>
        </w:rPr>
        <w:t xml:space="preserve"> </w:t>
      </w:r>
    </w:p>
    <w:p w14:paraId="79ED8D4D" w14:textId="0DBBBEBE" w:rsidR="001156F9" w:rsidRDefault="00037F64" w:rsidP="00661430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datové oblasti DOFO70_01 </w:t>
      </w:r>
      <w:r w:rsidR="001156F9">
        <w:rPr>
          <w:sz w:val="24"/>
          <w:szCs w:val="24"/>
        </w:rPr>
        <w:t>dále d</w:t>
      </w:r>
      <w:r w:rsidR="003B513C">
        <w:rPr>
          <w:sz w:val="24"/>
          <w:szCs w:val="24"/>
        </w:rPr>
        <w:t>ošlo</w:t>
      </w:r>
      <w:r w:rsidR="001156F9">
        <w:rPr>
          <w:sz w:val="24"/>
          <w:szCs w:val="24"/>
        </w:rPr>
        <w:t xml:space="preserve"> ke </w:t>
      </w:r>
      <w:r w:rsidR="001156F9" w:rsidRPr="0046445E">
        <w:rPr>
          <w:sz w:val="24"/>
          <w:szCs w:val="24"/>
        </w:rPr>
        <w:t>sjednocení s aktuálním přístupem na evropské úrovni</w:t>
      </w:r>
      <w:r w:rsidR="001156F9">
        <w:rPr>
          <w:sz w:val="24"/>
          <w:szCs w:val="24"/>
        </w:rPr>
        <w:t xml:space="preserve"> a </w:t>
      </w:r>
      <w:r w:rsidR="00DB33D9">
        <w:rPr>
          <w:sz w:val="24"/>
          <w:szCs w:val="24"/>
        </w:rPr>
        <w:t>b</w:t>
      </w:r>
      <w:r w:rsidR="001156F9">
        <w:rPr>
          <w:sz w:val="24"/>
          <w:szCs w:val="24"/>
        </w:rPr>
        <w:t xml:space="preserve">ude přejmenováno pole </w:t>
      </w:r>
      <w:r w:rsidR="00332B51">
        <w:rPr>
          <w:sz w:val="24"/>
          <w:szCs w:val="24"/>
        </w:rPr>
        <w:t>„</w:t>
      </w:r>
      <w:r w:rsidR="001156F9" w:rsidRPr="0046445E">
        <w:rPr>
          <w:sz w:val="24"/>
          <w:szCs w:val="24"/>
        </w:rPr>
        <w:t>SFO0035</w:t>
      </w:r>
      <w:r w:rsidR="00332B51">
        <w:rPr>
          <w:sz w:val="24"/>
          <w:szCs w:val="24"/>
        </w:rPr>
        <w:t xml:space="preserve"> </w:t>
      </w:r>
      <w:r w:rsidR="00332B51" w:rsidRPr="00332B51">
        <w:rPr>
          <w:sz w:val="24"/>
          <w:szCs w:val="24"/>
        </w:rPr>
        <w:t>–</w:t>
      </w:r>
      <w:r w:rsidR="001156F9" w:rsidRPr="0046445E">
        <w:rPr>
          <w:sz w:val="24"/>
          <w:szCs w:val="24"/>
        </w:rPr>
        <w:t xml:space="preserve"> Rizika udržitelnosti</w:t>
      </w:r>
      <w:r w:rsidR="001156F9">
        <w:rPr>
          <w:sz w:val="24"/>
          <w:szCs w:val="24"/>
        </w:rPr>
        <w:t xml:space="preserve">“ na </w:t>
      </w:r>
      <w:r w:rsidR="00332B51">
        <w:rPr>
          <w:sz w:val="24"/>
          <w:szCs w:val="24"/>
        </w:rPr>
        <w:t>„</w:t>
      </w:r>
      <w:r w:rsidR="001156F9">
        <w:rPr>
          <w:sz w:val="24"/>
          <w:szCs w:val="24"/>
        </w:rPr>
        <w:t>SFO0035</w:t>
      </w:r>
      <w:r w:rsidR="00332B51">
        <w:rPr>
          <w:sz w:val="24"/>
          <w:szCs w:val="24"/>
        </w:rPr>
        <w:t xml:space="preserve"> </w:t>
      </w:r>
      <w:r w:rsidR="00332B51" w:rsidRPr="00332B51">
        <w:rPr>
          <w:sz w:val="24"/>
          <w:szCs w:val="24"/>
        </w:rPr>
        <w:t>–</w:t>
      </w:r>
      <w:r w:rsidR="001156F9">
        <w:rPr>
          <w:sz w:val="24"/>
          <w:szCs w:val="24"/>
        </w:rPr>
        <w:t xml:space="preserve"> </w:t>
      </w:r>
      <w:r w:rsidR="001156F9" w:rsidRPr="001156F9">
        <w:rPr>
          <w:sz w:val="24"/>
          <w:szCs w:val="24"/>
        </w:rPr>
        <w:t>Oblast udržitelnosti</w:t>
      </w:r>
      <w:r w:rsidR="001156F9">
        <w:rPr>
          <w:sz w:val="24"/>
          <w:szCs w:val="24"/>
        </w:rPr>
        <w:t>“. Dále bude upraven</w:t>
      </w:r>
      <w:r w:rsidR="00DB33D9">
        <w:rPr>
          <w:sz w:val="24"/>
          <w:szCs w:val="24"/>
        </w:rPr>
        <w:t xml:space="preserve"> číselník </w:t>
      </w:r>
      <w:r w:rsidR="00DB33D9" w:rsidRPr="0046445E">
        <w:rPr>
          <w:sz w:val="24"/>
          <w:szCs w:val="24"/>
        </w:rPr>
        <w:t>RIZIKAUD</w:t>
      </w:r>
      <w:r w:rsidR="00DB33D9">
        <w:rPr>
          <w:sz w:val="24"/>
          <w:szCs w:val="24"/>
        </w:rPr>
        <w:t xml:space="preserve">RZITELNOSTI </w:t>
      </w:r>
      <w:r w:rsidR="001156F9">
        <w:rPr>
          <w:sz w:val="24"/>
          <w:szCs w:val="24"/>
        </w:rPr>
        <w:t xml:space="preserve">pod výše uvedeným polem </w:t>
      </w:r>
      <w:r w:rsidR="005B6423">
        <w:rPr>
          <w:sz w:val="24"/>
          <w:szCs w:val="24"/>
        </w:rPr>
        <w:t>„</w:t>
      </w:r>
      <w:r w:rsidR="0046445E" w:rsidRPr="0046445E">
        <w:rPr>
          <w:sz w:val="24"/>
          <w:szCs w:val="24"/>
        </w:rPr>
        <w:t xml:space="preserve">SFO0035 </w:t>
      </w:r>
      <w:r w:rsidR="005B6423" w:rsidRPr="00332B51">
        <w:rPr>
          <w:sz w:val="24"/>
          <w:szCs w:val="24"/>
        </w:rPr>
        <w:t>–</w:t>
      </w:r>
      <w:r w:rsidR="005B6423">
        <w:rPr>
          <w:sz w:val="24"/>
          <w:szCs w:val="24"/>
        </w:rPr>
        <w:t xml:space="preserve"> </w:t>
      </w:r>
      <w:r w:rsidR="001156F9" w:rsidRPr="001156F9">
        <w:rPr>
          <w:sz w:val="24"/>
          <w:szCs w:val="24"/>
        </w:rPr>
        <w:t>Oblast udržitelnosti</w:t>
      </w:r>
      <w:r w:rsidR="001156F9">
        <w:rPr>
          <w:sz w:val="24"/>
          <w:szCs w:val="24"/>
        </w:rPr>
        <w:t>“</w:t>
      </w:r>
      <w:r w:rsidR="00EB3921">
        <w:rPr>
          <w:sz w:val="24"/>
          <w:szCs w:val="24"/>
        </w:rPr>
        <w:t xml:space="preserve"> a bude obsahovat tyto položky: </w:t>
      </w:r>
    </w:p>
    <w:p w14:paraId="6FFFB01E" w14:textId="6E4E3EAA" w:rsidR="001156F9" w:rsidRPr="00EB3921" w:rsidRDefault="001156F9" w:rsidP="00661430">
      <w:pPr>
        <w:pStyle w:val="Odstavecseseznamem"/>
        <w:numPr>
          <w:ilvl w:val="0"/>
          <w:numId w:val="21"/>
        </w:numPr>
        <w:spacing w:before="120" w:after="0"/>
        <w:jc w:val="both"/>
        <w:rPr>
          <w:sz w:val="24"/>
          <w:szCs w:val="24"/>
        </w:rPr>
      </w:pPr>
      <w:r w:rsidRPr="00EB3921">
        <w:rPr>
          <w:sz w:val="24"/>
          <w:szCs w:val="24"/>
        </w:rPr>
        <w:t>Kód 1</w:t>
      </w:r>
      <w:r w:rsidR="00EB3921">
        <w:rPr>
          <w:sz w:val="24"/>
          <w:szCs w:val="24"/>
        </w:rPr>
        <w:t xml:space="preserve"> (úprava)</w:t>
      </w:r>
      <w:r w:rsidRPr="00EB3921">
        <w:rPr>
          <w:sz w:val="24"/>
          <w:szCs w:val="24"/>
        </w:rPr>
        <w:t xml:space="preserve"> - Produkt prosazuje environmentální nebo sociální vlastnosti (čl. 8 SFDR).</w:t>
      </w:r>
    </w:p>
    <w:p w14:paraId="3F146968" w14:textId="119D3826" w:rsidR="001156F9" w:rsidRPr="00EB3921" w:rsidRDefault="001156F9" w:rsidP="00661430">
      <w:pPr>
        <w:pStyle w:val="Odstavecseseznamem"/>
        <w:numPr>
          <w:ilvl w:val="0"/>
          <w:numId w:val="21"/>
        </w:numPr>
        <w:spacing w:before="120" w:after="0"/>
        <w:jc w:val="both"/>
        <w:rPr>
          <w:sz w:val="24"/>
          <w:szCs w:val="24"/>
        </w:rPr>
      </w:pPr>
      <w:r w:rsidRPr="00EB3921">
        <w:rPr>
          <w:sz w:val="24"/>
          <w:szCs w:val="24"/>
        </w:rPr>
        <w:t xml:space="preserve">Kód 3 </w:t>
      </w:r>
      <w:r w:rsidR="00EB3921">
        <w:rPr>
          <w:sz w:val="24"/>
          <w:szCs w:val="24"/>
        </w:rPr>
        <w:t xml:space="preserve">(úprava) </w:t>
      </w:r>
      <w:r w:rsidRPr="00EB3921">
        <w:rPr>
          <w:sz w:val="24"/>
          <w:szCs w:val="24"/>
        </w:rPr>
        <w:t>- Produkt prosazuje environmentální nebo sociální vlastnosti, a přestože nesleduje cíl udržitelných investic, má stanoven závazek mít udržitelné investice (čl. 8 SFDR).</w:t>
      </w:r>
    </w:p>
    <w:p w14:paraId="0D1C9406" w14:textId="6A743B8A" w:rsidR="001156F9" w:rsidRPr="00EB3921" w:rsidRDefault="001156F9" w:rsidP="00661430">
      <w:pPr>
        <w:pStyle w:val="Odstavecseseznamem"/>
        <w:numPr>
          <w:ilvl w:val="0"/>
          <w:numId w:val="21"/>
        </w:numPr>
        <w:spacing w:before="120" w:after="0"/>
        <w:jc w:val="both"/>
        <w:rPr>
          <w:sz w:val="24"/>
          <w:szCs w:val="24"/>
        </w:rPr>
      </w:pPr>
      <w:r w:rsidRPr="00EB3921">
        <w:rPr>
          <w:sz w:val="24"/>
          <w:szCs w:val="24"/>
        </w:rPr>
        <w:t xml:space="preserve">Kód 2 </w:t>
      </w:r>
      <w:r w:rsidR="00EB3921">
        <w:rPr>
          <w:sz w:val="24"/>
          <w:szCs w:val="24"/>
        </w:rPr>
        <w:t xml:space="preserve">(úprava) </w:t>
      </w:r>
      <w:r w:rsidRPr="00EB3921">
        <w:rPr>
          <w:sz w:val="24"/>
          <w:szCs w:val="24"/>
        </w:rPr>
        <w:t>- Produkt sleduje cíl udržitelných investic (čl. 9 SFDR).</w:t>
      </w:r>
    </w:p>
    <w:p w14:paraId="1C676A78" w14:textId="1ADB6291" w:rsidR="001156F9" w:rsidRPr="00EB3921" w:rsidRDefault="001156F9" w:rsidP="00661430">
      <w:pPr>
        <w:pStyle w:val="Odstavecseseznamem"/>
        <w:numPr>
          <w:ilvl w:val="0"/>
          <w:numId w:val="21"/>
        </w:numPr>
        <w:spacing w:before="120" w:after="0"/>
        <w:jc w:val="both"/>
        <w:rPr>
          <w:sz w:val="24"/>
          <w:szCs w:val="24"/>
        </w:rPr>
      </w:pPr>
      <w:r w:rsidRPr="00EB3921">
        <w:rPr>
          <w:sz w:val="24"/>
          <w:szCs w:val="24"/>
        </w:rPr>
        <w:t>Kód 5</w:t>
      </w:r>
      <w:r w:rsidR="00EB3921">
        <w:rPr>
          <w:sz w:val="24"/>
          <w:szCs w:val="24"/>
        </w:rPr>
        <w:t xml:space="preserve"> (nová položka</w:t>
      </w:r>
      <w:r w:rsidRPr="00EB3921">
        <w:rPr>
          <w:sz w:val="24"/>
          <w:szCs w:val="24"/>
        </w:rPr>
        <w:t>) - Produkt začleňuje rizika týkající se udržitelnosti do investičních rozhodnutí, ale neprosazuje environmentální nebo sociální vlastnosti a nesleduje cíl udržitelných investic.</w:t>
      </w:r>
    </w:p>
    <w:p w14:paraId="0064B75E" w14:textId="064E8338" w:rsidR="001156F9" w:rsidRPr="00EB3921" w:rsidRDefault="001156F9" w:rsidP="00661430">
      <w:pPr>
        <w:pStyle w:val="Odstavecseseznamem"/>
        <w:numPr>
          <w:ilvl w:val="0"/>
          <w:numId w:val="21"/>
        </w:numPr>
        <w:spacing w:before="120" w:after="0"/>
        <w:jc w:val="both"/>
        <w:rPr>
          <w:sz w:val="24"/>
          <w:szCs w:val="24"/>
        </w:rPr>
      </w:pPr>
      <w:r w:rsidRPr="00EB3921">
        <w:rPr>
          <w:sz w:val="24"/>
          <w:szCs w:val="24"/>
        </w:rPr>
        <w:t xml:space="preserve">Kód 4 </w:t>
      </w:r>
      <w:r w:rsidR="00EB3921">
        <w:rPr>
          <w:sz w:val="24"/>
          <w:szCs w:val="24"/>
        </w:rPr>
        <w:t>(úprava)</w:t>
      </w:r>
      <w:r w:rsidR="009E4046">
        <w:rPr>
          <w:sz w:val="24"/>
          <w:szCs w:val="24"/>
        </w:rPr>
        <w:t xml:space="preserve"> </w:t>
      </w:r>
      <w:r w:rsidRPr="00EB3921">
        <w:rPr>
          <w:sz w:val="24"/>
          <w:szCs w:val="24"/>
        </w:rPr>
        <w:t>- Rizika týkající se udržitelnosti nejsou pro produkt relevantní.</w:t>
      </w:r>
    </w:p>
    <w:p w14:paraId="1CB1B190" w14:textId="7691435B" w:rsidR="00FB6947" w:rsidRDefault="00DB33D9" w:rsidP="0066143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V datové oblasti DOFO70_02 b</w:t>
      </w:r>
      <w:r w:rsidR="003B513C">
        <w:rPr>
          <w:sz w:val="24"/>
          <w:szCs w:val="24"/>
        </w:rPr>
        <w:t xml:space="preserve">yl </w:t>
      </w:r>
      <w:r>
        <w:rPr>
          <w:sz w:val="24"/>
          <w:szCs w:val="24"/>
        </w:rPr>
        <w:t>upraven číselník</w:t>
      </w:r>
      <w:r w:rsidRPr="00DB33D9">
        <w:t xml:space="preserve"> </w:t>
      </w:r>
      <w:r w:rsidRPr="00DB33D9">
        <w:rPr>
          <w:sz w:val="24"/>
          <w:szCs w:val="24"/>
        </w:rPr>
        <w:t>KATEGORIEPRODUKTU</w:t>
      </w:r>
      <w:r>
        <w:rPr>
          <w:sz w:val="24"/>
          <w:szCs w:val="24"/>
        </w:rPr>
        <w:t xml:space="preserve"> v poli</w:t>
      </w:r>
      <w:r w:rsidR="00332B51" w:rsidRPr="00332B51">
        <w:rPr>
          <w:sz w:val="24"/>
          <w:szCs w:val="24"/>
        </w:rPr>
        <w:t xml:space="preserve"> „SFO0036 – Kategorie produktu“ </w:t>
      </w:r>
      <w:r w:rsidR="009D677F">
        <w:rPr>
          <w:sz w:val="24"/>
          <w:szCs w:val="24"/>
        </w:rPr>
        <w:t xml:space="preserve">budou </w:t>
      </w:r>
      <w:r w:rsidR="00332B51" w:rsidRPr="00332B51">
        <w:rPr>
          <w:sz w:val="24"/>
          <w:szCs w:val="24"/>
        </w:rPr>
        <w:t>odstran</w:t>
      </w:r>
      <w:r w:rsidR="009D677F">
        <w:rPr>
          <w:sz w:val="24"/>
          <w:szCs w:val="24"/>
        </w:rPr>
        <w:t>ěny</w:t>
      </w:r>
      <w:r w:rsidR="00332B51" w:rsidRPr="00332B51">
        <w:rPr>
          <w:sz w:val="24"/>
          <w:szCs w:val="24"/>
        </w:rPr>
        <w:t xml:space="preserve"> </w:t>
      </w:r>
      <w:r w:rsidR="00FB6947">
        <w:rPr>
          <w:sz w:val="24"/>
          <w:szCs w:val="24"/>
        </w:rPr>
        <w:t xml:space="preserve">2 položky: </w:t>
      </w:r>
    </w:p>
    <w:p w14:paraId="52065917" w14:textId="71E1BA36" w:rsidR="00FB6947" w:rsidRDefault="00FB6947" w:rsidP="00661430">
      <w:pPr>
        <w:pStyle w:val="Odstavecseseznamem"/>
        <w:numPr>
          <w:ilvl w:val="0"/>
          <w:numId w:val="2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Kód 1a – kategorie 1a.</w:t>
      </w:r>
    </w:p>
    <w:p w14:paraId="03F2819C" w14:textId="661539C4" w:rsidR="00EB57A1" w:rsidRPr="00FB6947" w:rsidRDefault="00FB6947" w:rsidP="00661430">
      <w:pPr>
        <w:pStyle w:val="Odstavecseseznamem"/>
        <w:numPr>
          <w:ilvl w:val="0"/>
          <w:numId w:val="2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Kód</w:t>
      </w:r>
      <w:r w:rsidR="00332B51" w:rsidRPr="00FB6947">
        <w:rPr>
          <w:sz w:val="24"/>
          <w:szCs w:val="24"/>
        </w:rPr>
        <w:t xml:space="preserve"> 1b – kategorie 1b.</w:t>
      </w:r>
    </w:p>
    <w:p w14:paraId="41405189" w14:textId="29D3BD1D" w:rsidR="00EF06AB" w:rsidRDefault="00332B51" w:rsidP="001E0C33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3B513C">
        <w:rPr>
          <w:sz w:val="24"/>
          <w:szCs w:val="24"/>
        </w:rPr>
        <w:t>yly</w:t>
      </w:r>
      <w:r>
        <w:rPr>
          <w:sz w:val="24"/>
          <w:szCs w:val="24"/>
        </w:rPr>
        <w:t xml:space="preserve"> doplněn</w:t>
      </w:r>
      <w:r w:rsidR="000F3A3D">
        <w:rPr>
          <w:sz w:val="24"/>
          <w:szCs w:val="24"/>
        </w:rPr>
        <w:t>y příslušné</w:t>
      </w:r>
      <w:r>
        <w:rPr>
          <w:sz w:val="24"/>
          <w:szCs w:val="24"/>
        </w:rPr>
        <w:t xml:space="preserve"> JVK.</w:t>
      </w:r>
    </w:p>
    <w:p w14:paraId="28FD3265" w14:textId="77777777" w:rsidR="000F3A3D" w:rsidRPr="00EF06AB" w:rsidRDefault="000F3A3D" w:rsidP="00661430">
      <w:pPr>
        <w:spacing w:before="120"/>
        <w:jc w:val="both"/>
        <w:rPr>
          <w:sz w:val="24"/>
          <w:szCs w:val="24"/>
        </w:rPr>
      </w:pPr>
    </w:p>
    <w:p w14:paraId="79D8C0DC" w14:textId="2DA86F79" w:rsidR="00EB57A1" w:rsidRPr="00B46EDA" w:rsidRDefault="008F1488" w:rsidP="00661430">
      <w:pPr>
        <w:pStyle w:val="Odstavecseseznamem"/>
        <w:numPr>
          <w:ilvl w:val="0"/>
          <w:numId w:val="15"/>
        </w:numPr>
        <w:ind w:left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Výkaz </w:t>
      </w:r>
      <w:r w:rsidR="003B513C">
        <w:rPr>
          <w:b/>
          <w:bCs/>
          <w:sz w:val="24"/>
          <w:szCs w:val="24"/>
        </w:rPr>
        <w:t xml:space="preserve">DOFOS15 </w:t>
      </w:r>
      <w:r w:rsidR="00F15810">
        <w:rPr>
          <w:b/>
          <w:bCs/>
          <w:sz w:val="24"/>
          <w:szCs w:val="24"/>
        </w:rPr>
        <w:t>OFZ (ČNB) 15</w:t>
      </w:r>
      <w:r w:rsidR="00F15810" w:rsidRPr="002252D3">
        <w:rPr>
          <w:b/>
          <w:bCs/>
          <w:sz w:val="24"/>
          <w:szCs w:val="24"/>
        </w:rPr>
        <w:t>-01</w:t>
      </w:r>
      <w:r w:rsidR="00E0334F">
        <w:rPr>
          <w:b/>
          <w:bCs/>
          <w:sz w:val="24"/>
          <w:szCs w:val="24"/>
        </w:rPr>
        <w:t xml:space="preserve"> </w:t>
      </w:r>
      <w:r w:rsidR="0083643C" w:rsidRPr="0083643C">
        <w:rPr>
          <w:b/>
          <w:bCs/>
          <w:color w:val="0070C0"/>
          <w:sz w:val="24"/>
          <w:szCs w:val="24"/>
        </w:rPr>
        <w:t>beze změny</w:t>
      </w:r>
    </w:p>
    <w:p w14:paraId="00E208DF" w14:textId="0F5B7BC8" w:rsidR="008F1488" w:rsidRDefault="008F1488" w:rsidP="001E0C33">
      <w:pPr>
        <w:pStyle w:val="Odstavecseseznamem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Pr="008F1488">
        <w:rPr>
          <w:sz w:val="24"/>
          <w:szCs w:val="24"/>
        </w:rPr>
        <w:t>Osoby uvedené v § 15 odst. 1 ZISIF, kterým vznikla povinnost nechat se zapsat do seznamu</w:t>
      </w:r>
      <w:r w:rsidR="00BA350A">
        <w:rPr>
          <w:sz w:val="24"/>
          <w:szCs w:val="24"/>
        </w:rPr>
        <w:t xml:space="preserve"> </w:t>
      </w:r>
      <w:r w:rsidR="00BA350A" w:rsidRPr="00BA350A">
        <w:rPr>
          <w:sz w:val="24"/>
          <w:szCs w:val="24"/>
        </w:rPr>
        <w:t>vedeného Českou národní bankou</w:t>
      </w:r>
      <w:r w:rsidR="00B46EDA">
        <w:rPr>
          <w:sz w:val="24"/>
          <w:szCs w:val="24"/>
        </w:rPr>
        <w:t>,</w:t>
      </w:r>
      <w:r>
        <w:rPr>
          <w:sz w:val="24"/>
          <w:szCs w:val="24"/>
        </w:rPr>
        <w:t xml:space="preserve"> bude vyprojektován v</w:t>
      </w:r>
      <w:r w:rsidRPr="008F1488">
        <w:rPr>
          <w:sz w:val="24"/>
          <w:szCs w:val="24"/>
        </w:rPr>
        <w:t>ýkaz</w:t>
      </w:r>
      <w:r w:rsidR="00EA1842">
        <w:rPr>
          <w:sz w:val="24"/>
          <w:szCs w:val="24"/>
        </w:rPr>
        <w:t xml:space="preserve"> </w:t>
      </w:r>
      <w:r w:rsidRPr="008F1488">
        <w:rPr>
          <w:sz w:val="24"/>
          <w:szCs w:val="24"/>
        </w:rPr>
        <w:t xml:space="preserve"> </w:t>
      </w:r>
      <w:r w:rsidR="00EA1842" w:rsidRPr="00EA1842">
        <w:rPr>
          <w:sz w:val="24"/>
          <w:szCs w:val="24"/>
        </w:rPr>
        <w:t xml:space="preserve">OFZ (ČNB) </w:t>
      </w:r>
      <w:r w:rsidR="00C327C7">
        <w:rPr>
          <w:sz w:val="24"/>
          <w:szCs w:val="24"/>
        </w:rPr>
        <w:t>15-01,</w:t>
      </w:r>
      <w:r w:rsidR="00EA1842" w:rsidRPr="00EA1842">
        <w:rPr>
          <w:sz w:val="24"/>
          <w:szCs w:val="24"/>
        </w:rPr>
        <w:t xml:space="preserve"> </w:t>
      </w:r>
      <w:r w:rsidR="002D205D">
        <w:rPr>
          <w:sz w:val="24"/>
          <w:szCs w:val="24"/>
        </w:rPr>
        <w:t>DOFOS15</w:t>
      </w:r>
      <w:r>
        <w:rPr>
          <w:sz w:val="24"/>
          <w:szCs w:val="24"/>
        </w:rPr>
        <w:t xml:space="preserve"> „</w:t>
      </w:r>
      <w:r w:rsidRPr="008F1488">
        <w:rPr>
          <w:sz w:val="24"/>
          <w:szCs w:val="24"/>
        </w:rPr>
        <w:t>Zpráva auditora</w:t>
      </w:r>
      <w:r>
        <w:rPr>
          <w:sz w:val="24"/>
          <w:szCs w:val="24"/>
        </w:rPr>
        <w:t>“, který</w:t>
      </w:r>
      <w:r w:rsidRPr="008F1488">
        <w:rPr>
          <w:sz w:val="24"/>
          <w:szCs w:val="24"/>
        </w:rPr>
        <w:t xml:space="preserve"> bude obsahovat jednu datovou oblast DO</w:t>
      </w:r>
      <w:r w:rsidR="002D205D">
        <w:rPr>
          <w:sz w:val="24"/>
          <w:szCs w:val="24"/>
        </w:rPr>
        <w:t>FO</w:t>
      </w:r>
      <w:r w:rsidRPr="008F1488">
        <w:rPr>
          <w:sz w:val="24"/>
          <w:szCs w:val="24"/>
        </w:rPr>
        <w:t xml:space="preserve">15_01 Zpráva auditora a počet investorů. </w:t>
      </w:r>
      <w:r w:rsidR="006E7BE3">
        <w:rPr>
          <w:sz w:val="24"/>
          <w:szCs w:val="24"/>
        </w:rPr>
        <w:t>Datová oblast b</w:t>
      </w:r>
      <w:r w:rsidRPr="008F1488">
        <w:rPr>
          <w:sz w:val="24"/>
          <w:szCs w:val="24"/>
        </w:rPr>
        <w:t>ude obsahovat pole Počet investorů (celé nezáporné číslo) a pod ním pole Zpráva auditora (soubor v PDF).</w:t>
      </w:r>
      <w:r w:rsidR="006E7BE3">
        <w:rPr>
          <w:sz w:val="24"/>
          <w:szCs w:val="24"/>
        </w:rPr>
        <w:t xml:space="preserve"> Výkaz s</w:t>
      </w:r>
      <w:r w:rsidR="006E7BE3" w:rsidRPr="006E7BE3">
        <w:rPr>
          <w:sz w:val="24"/>
          <w:szCs w:val="24"/>
        </w:rPr>
        <w:t>právce majetku předkládá za svou osobu do konce šestého měsíce po skončení kalendářního</w:t>
      </w:r>
      <w:r w:rsidR="006E7BE3">
        <w:rPr>
          <w:sz w:val="24"/>
          <w:szCs w:val="24"/>
        </w:rPr>
        <w:t xml:space="preserve"> roku. </w:t>
      </w:r>
    </w:p>
    <w:p w14:paraId="4B875C5B" w14:textId="68F50472" w:rsidR="002252D3" w:rsidRDefault="002252D3" w:rsidP="001E0C33">
      <w:pPr>
        <w:jc w:val="both"/>
        <w:rPr>
          <w:sz w:val="24"/>
          <w:szCs w:val="24"/>
        </w:rPr>
      </w:pPr>
    </w:p>
    <w:p w14:paraId="1DF73A7D" w14:textId="77777777" w:rsidR="00B234EA" w:rsidRDefault="00B234EA">
      <w:pPr>
        <w:spacing w:after="160" w:line="259" w:lineRule="auto"/>
        <w:rPr>
          <w:rFonts w:ascii="Cambria" w:eastAsia="SimSun" w:hAnsi="Cambria" w:cs="Times New Roman"/>
          <w:b/>
          <w:bCs/>
          <w:color w:val="1F497D"/>
          <w:sz w:val="26"/>
          <w:szCs w:val="26"/>
        </w:rPr>
      </w:pPr>
      <w:r>
        <w:rPr>
          <w:rFonts w:ascii="Cambria" w:eastAsia="SimSun" w:hAnsi="Cambria" w:cs="Times New Roman"/>
          <w:color w:val="1F497D"/>
        </w:rPr>
        <w:br w:type="page"/>
      </w:r>
    </w:p>
    <w:p w14:paraId="1ED6F39D" w14:textId="3E5276E1" w:rsidR="00501FA0" w:rsidRDefault="00B978E6" w:rsidP="007756FB">
      <w:pPr>
        <w:pStyle w:val="Nadpis2"/>
        <w:spacing w:before="120" w:after="240" w:line="360" w:lineRule="auto"/>
        <w:jc w:val="both"/>
        <w:rPr>
          <w:rFonts w:ascii="Cambria" w:eastAsia="SimSun" w:hAnsi="Cambria" w:cs="Times New Roman"/>
          <w:color w:val="1F497D"/>
        </w:rPr>
      </w:pPr>
      <w:r w:rsidRPr="00B978E6">
        <w:rPr>
          <w:rFonts w:ascii="Cambria" w:eastAsia="SimSun" w:hAnsi="Cambria" w:cs="Times New Roman"/>
          <w:color w:val="1F497D"/>
        </w:rPr>
        <w:lastRenderedPageBreak/>
        <w:t>Výkaznictví</w:t>
      </w:r>
      <w:r>
        <w:rPr>
          <w:rFonts w:ascii="Cambria" w:eastAsia="SimSun" w:hAnsi="Cambria" w:cs="Times New Roman"/>
          <w:color w:val="1F497D"/>
        </w:rPr>
        <w:t xml:space="preserve"> OCP</w:t>
      </w:r>
      <w:r w:rsidR="00801586">
        <w:rPr>
          <w:rFonts w:ascii="Cambria" w:eastAsia="SimSun" w:hAnsi="Cambria" w:cs="Times New Roman"/>
          <w:color w:val="1F497D"/>
        </w:rPr>
        <w:t xml:space="preserve"> </w:t>
      </w:r>
      <w:r w:rsidR="00801586" w:rsidRPr="00801586">
        <w:rPr>
          <w:rFonts w:ascii="Cambria" w:eastAsia="SimSun" w:hAnsi="Cambria" w:cs="Times New Roman"/>
          <w:color w:val="1F497D"/>
        </w:rPr>
        <w:t>KT20241201, KT20250101, MKT20241201</w:t>
      </w:r>
      <w:r w:rsidR="00E345D4">
        <w:rPr>
          <w:rFonts w:ascii="Cambria" w:eastAsia="SimSun" w:hAnsi="Cambria" w:cs="Times New Roman"/>
          <w:color w:val="1F497D"/>
        </w:rPr>
        <w:t xml:space="preserve"> a</w:t>
      </w:r>
      <w:r w:rsidR="00E0334F">
        <w:rPr>
          <w:rFonts w:ascii="Cambria" w:eastAsia="SimSun" w:hAnsi="Cambria" w:cs="Times New Roman"/>
          <w:color w:val="1F497D"/>
        </w:rPr>
        <w:t xml:space="preserve"> </w:t>
      </w:r>
      <w:proofErr w:type="spellStart"/>
      <w:r w:rsidR="00E0334F">
        <w:rPr>
          <w:rFonts w:ascii="Cambria" w:eastAsia="SimSun" w:hAnsi="Cambria" w:cs="Times New Roman"/>
          <w:color w:val="1F497D"/>
        </w:rPr>
        <w:t>EBA_Rámce</w:t>
      </w:r>
      <w:proofErr w:type="spellEnd"/>
      <w:r w:rsidR="00E345D4">
        <w:rPr>
          <w:rFonts w:ascii="Cambria" w:eastAsia="SimSun" w:hAnsi="Cambria" w:cs="Times New Roman"/>
          <w:color w:val="1F497D"/>
        </w:rPr>
        <w:t xml:space="preserve"> pro OCP</w:t>
      </w:r>
      <w:r w:rsidR="0022160D">
        <w:rPr>
          <w:rFonts w:ascii="Cambria" w:eastAsia="SimSun" w:hAnsi="Cambria" w:cs="Times New Roman"/>
          <w:color w:val="1F497D"/>
        </w:rPr>
        <w:t>.</w:t>
      </w:r>
    </w:p>
    <w:p w14:paraId="374C93DF" w14:textId="117AC55E" w:rsidR="00501FA0" w:rsidRDefault="00501FA0" w:rsidP="00661430">
      <w:pPr>
        <w:spacing w:before="120" w:after="120" w:line="360" w:lineRule="auto"/>
        <w:jc w:val="both"/>
        <w:rPr>
          <w:b/>
          <w:sz w:val="26"/>
          <w:szCs w:val="26"/>
        </w:rPr>
      </w:pPr>
      <w:r w:rsidRPr="00DE3A35">
        <w:rPr>
          <w:b/>
          <w:sz w:val="26"/>
          <w:szCs w:val="26"/>
        </w:rPr>
        <w:t>Evropské výkaznictví</w:t>
      </w:r>
      <w:r w:rsidR="00801586">
        <w:rPr>
          <w:b/>
          <w:sz w:val="26"/>
          <w:szCs w:val="26"/>
        </w:rPr>
        <w:t xml:space="preserve"> </w:t>
      </w:r>
    </w:p>
    <w:p w14:paraId="0FD19095" w14:textId="6A375788" w:rsidR="00501FA0" w:rsidRPr="00CF26D3" w:rsidRDefault="00501FA0" w:rsidP="00661430">
      <w:pPr>
        <w:pStyle w:val="Default"/>
        <w:numPr>
          <w:ilvl w:val="0"/>
          <w:numId w:val="2"/>
        </w:numPr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Bidi"/>
          <w:b/>
          <w:color w:val="auto"/>
          <w:szCs w:val="22"/>
          <w:lang w:eastAsia="en-US"/>
        </w:rPr>
      </w:pPr>
      <w:r w:rsidRPr="00867994">
        <w:rPr>
          <w:rFonts w:asciiTheme="minorHAnsi" w:hAnsiTheme="minorHAnsi" w:cstheme="minorBidi"/>
          <w:color w:val="auto"/>
          <w:szCs w:val="22"/>
          <w:lang w:eastAsia="en-US"/>
        </w:rPr>
        <w:t xml:space="preserve">Jednotný evropský vykazovací rámec podle </w:t>
      </w:r>
      <w:proofErr w:type="spellStart"/>
      <w:r w:rsidRPr="00867994">
        <w:rPr>
          <w:rFonts w:asciiTheme="minorHAnsi" w:hAnsiTheme="minorHAnsi" w:cstheme="minorBidi"/>
          <w:color w:val="auto"/>
          <w:szCs w:val="22"/>
          <w:lang w:eastAsia="en-US"/>
        </w:rPr>
        <w:t>MiFIR</w:t>
      </w:r>
      <w:proofErr w:type="spellEnd"/>
      <w:r w:rsidRPr="00867994">
        <w:rPr>
          <w:rFonts w:asciiTheme="minorHAnsi" w:hAnsiTheme="minorHAnsi" w:cstheme="minorBidi"/>
          <w:color w:val="auto"/>
          <w:szCs w:val="22"/>
          <w:lang w:eastAsia="en-US"/>
        </w:rPr>
        <w:t>/</w:t>
      </w:r>
      <w:proofErr w:type="spellStart"/>
      <w:r w:rsidRPr="00867994">
        <w:rPr>
          <w:rFonts w:asciiTheme="minorHAnsi" w:hAnsiTheme="minorHAnsi" w:cstheme="minorBidi"/>
          <w:color w:val="auto"/>
          <w:szCs w:val="22"/>
          <w:lang w:eastAsia="en-US"/>
        </w:rPr>
        <w:t>MiFIDII</w:t>
      </w:r>
      <w:proofErr w:type="spellEnd"/>
      <w:r w:rsidRPr="00867994">
        <w:rPr>
          <w:rFonts w:asciiTheme="minorHAnsi" w:hAnsiTheme="minorHAnsi" w:cstheme="minorBidi"/>
          <w:color w:val="auto"/>
          <w:szCs w:val="22"/>
          <w:lang w:eastAsia="en-US"/>
        </w:rPr>
        <w:t xml:space="preserve"> - výkaznictví poboček OCP ze třetích zemí o rozsahu poskytnutých služeb</w:t>
      </w:r>
      <w:r w:rsidR="00801586">
        <w:rPr>
          <w:rFonts w:asciiTheme="minorHAnsi" w:hAnsiTheme="minorHAnsi" w:cstheme="minorBidi"/>
          <w:b/>
          <w:color w:val="auto"/>
          <w:szCs w:val="22"/>
          <w:lang w:eastAsia="en-US"/>
        </w:rPr>
        <w:t xml:space="preserve"> </w:t>
      </w:r>
      <w:r w:rsidR="00801586" w:rsidRPr="00EC0AC9">
        <w:rPr>
          <w:rFonts w:asciiTheme="minorHAnsi" w:hAnsiTheme="minorHAnsi" w:cstheme="minorBidi"/>
          <w:color w:val="auto"/>
          <w:szCs w:val="22"/>
          <w:lang w:eastAsia="en-US"/>
        </w:rPr>
        <w:t xml:space="preserve">výkazy </w:t>
      </w:r>
      <w:r w:rsidR="00801586" w:rsidRPr="009F7944">
        <w:rPr>
          <w:rFonts w:asciiTheme="minorHAnsi" w:hAnsiTheme="minorHAnsi" w:cstheme="minorBidi"/>
          <w:b/>
          <w:color w:val="auto"/>
          <w:szCs w:val="22"/>
          <w:lang w:eastAsia="en-US"/>
        </w:rPr>
        <w:t>TCFIR01</w:t>
      </w:r>
      <w:r w:rsidR="00801586">
        <w:rPr>
          <w:rFonts w:asciiTheme="minorHAnsi" w:hAnsiTheme="minorHAnsi" w:cstheme="minorBidi"/>
          <w:color w:val="auto"/>
          <w:szCs w:val="22"/>
          <w:lang w:eastAsia="en-US"/>
        </w:rPr>
        <w:t xml:space="preserve"> </w:t>
      </w:r>
      <w:r w:rsidR="00801586" w:rsidRPr="001B7751">
        <w:rPr>
          <w:rFonts w:asciiTheme="minorHAnsi" w:hAnsiTheme="minorHAnsi" w:cstheme="minorBidi"/>
          <w:color w:val="auto"/>
          <w:szCs w:val="22"/>
          <w:lang w:eastAsia="en-US"/>
        </w:rPr>
        <w:t>TCF (ČNB) 01-01</w:t>
      </w:r>
      <w:r w:rsidR="00801586">
        <w:rPr>
          <w:rFonts w:asciiTheme="minorHAnsi" w:hAnsiTheme="minorHAnsi" w:cstheme="minorBidi"/>
          <w:color w:val="auto"/>
          <w:szCs w:val="22"/>
          <w:lang w:eastAsia="en-US"/>
        </w:rPr>
        <w:t xml:space="preserve"> a </w:t>
      </w:r>
      <w:r w:rsidR="00801586" w:rsidRPr="009F7944">
        <w:rPr>
          <w:rFonts w:asciiTheme="minorHAnsi" w:hAnsiTheme="minorHAnsi" w:cstheme="minorBidi"/>
          <w:b/>
          <w:color w:val="auto"/>
          <w:szCs w:val="22"/>
          <w:lang w:eastAsia="en-US"/>
        </w:rPr>
        <w:t>TCFIR02</w:t>
      </w:r>
      <w:r w:rsidR="00801586">
        <w:rPr>
          <w:rFonts w:asciiTheme="minorHAnsi" w:hAnsiTheme="minorHAnsi" w:cstheme="minorBidi"/>
          <w:color w:val="auto"/>
          <w:szCs w:val="22"/>
          <w:lang w:eastAsia="en-US"/>
        </w:rPr>
        <w:t xml:space="preserve"> </w:t>
      </w:r>
      <w:r w:rsidR="00801586" w:rsidRPr="001B7751">
        <w:rPr>
          <w:rFonts w:asciiTheme="minorHAnsi" w:hAnsiTheme="minorHAnsi" w:cstheme="minorBidi"/>
          <w:color w:val="auto"/>
          <w:szCs w:val="22"/>
          <w:lang w:eastAsia="en-US"/>
        </w:rPr>
        <w:t>TCF (ČNB) 02-01</w:t>
      </w:r>
      <w:r w:rsidR="00E43EB0">
        <w:rPr>
          <w:rFonts w:asciiTheme="minorHAnsi" w:hAnsiTheme="minorHAnsi" w:cstheme="minorBidi"/>
          <w:color w:val="auto"/>
          <w:szCs w:val="22"/>
          <w:lang w:eastAsia="en-US"/>
        </w:rPr>
        <w:t xml:space="preserve"> </w:t>
      </w:r>
      <w:r w:rsidR="00E43EB0" w:rsidRPr="00E43EB0">
        <w:rPr>
          <w:rFonts w:asciiTheme="minorHAnsi" w:hAnsiTheme="minorHAnsi" w:cstheme="minorBidi"/>
          <w:color w:val="0070C0"/>
          <w:szCs w:val="22"/>
          <w:lang w:eastAsia="en-US"/>
        </w:rPr>
        <w:t xml:space="preserve">doplnění. </w:t>
      </w:r>
    </w:p>
    <w:p w14:paraId="3ADBDCD6" w14:textId="68383933" w:rsidR="0056651C" w:rsidRDefault="00DB1577" w:rsidP="00661430">
      <w:pPr>
        <w:pStyle w:val="Default"/>
        <w:spacing w:before="120" w:after="120" w:line="276" w:lineRule="auto"/>
        <w:jc w:val="both"/>
        <w:rPr>
          <w:rFonts w:asciiTheme="minorHAnsi" w:hAnsiTheme="minorHAnsi" w:cstheme="minorBidi"/>
          <w:color w:val="auto"/>
          <w:szCs w:val="22"/>
          <w:lang w:eastAsia="en-US"/>
        </w:rPr>
      </w:pPr>
      <w:r>
        <w:rPr>
          <w:rFonts w:asciiTheme="minorHAnsi" w:hAnsiTheme="minorHAnsi" w:cstheme="minorBidi"/>
          <w:color w:val="auto"/>
          <w:szCs w:val="22"/>
          <w:lang w:eastAsia="en-US"/>
        </w:rPr>
        <w:t>Do</w:t>
      </w:r>
      <w:r w:rsidR="00501FA0" w:rsidRPr="001B7751">
        <w:rPr>
          <w:rFonts w:asciiTheme="minorHAnsi" w:hAnsiTheme="minorHAnsi" w:cstheme="minorBidi"/>
          <w:color w:val="auto"/>
          <w:szCs w:val="22"/>
          <w:lang w:eastAsia="en-US"/>
        </w:rPr>
        <w:t xml:space="preserve"> evropských výkazů</w:t>
      </w:r>
      <w:r w:rsidR="008142A0" w:rsidRPr="001B7751">
        <w:rPr>
          <w:rFonts w:asciiTheme="minorHAnsi" w:hAnsiTheme="minorHAnsi" w:cstheme="minorBidi"/>
          <w:color w:val="auto"/>
          <w:szCs w:val="22"/>
          <w:lang w:eastAsia="en-US"/>
        </w:rPr>
        <w:t xml:space="preserve"> </w:t>
      </w:r>
      <w:r w:rsidR="00801586">
        <w:rPr>
          <w:rFonts w:asciiTheme="minorHAnsi" w:hAnsiTheme="minorHAnsi" w:cstheme="minorBidi"/>
          <w:color w:val="auto"/>
          <w:szCs w:val="22"/>
          <w:lang w:eastAsia="en-US"/>
        </w:rPr>
        <w:t xml:space="preserve">byly </w:t>
      </w:r>
      <w:r>
        <w:rPr>
          <w:rFonts w:asciiTheme="minorHAnsi" w:hAnsiTheme="minorHAnsi" w:cstheme="minorBidi"/>
          <w:color w:val="auto"/>
          <w:szCs w:val="22"/>
          <w:lang w:eastAsia="en-US"/>
        </w:rPr>
        <w:t>přidány</w:t>
      </w:r>
      <w:r w:rsidR="008142A0" w:rsidRPr="001B7751">
        <w:rPr>
          <w:rFonts w:asciiTheme="minorHAnsi" w:hAnsiTheme="minorHAnsi" w:cstheme="minorBidi"/>
          <w:color w:val="auto"/>
          <w:szCs w:val="22"/>
          <w:lang w:eastAsia="en-US"/>
        </w:rPr>
        <w:t xml:space="preserve"> o</w:t>
      </w:r>
      <w:r w:rsidR="003656CF">
        <w:rPr>
          <w:rFonts w:asciiTheme="minorHAnsi" w:hAnsiTheme="minorHAnsi" w:cstheme="minorBidi"/>
          <w:color w:val="auto"/>
          <w:szCs w:val="22"/>
          <w:lang w:eastAsia="en-US"/>
        </w:rPr>
        <w:t>d</w:t>
      </w:r>
      <w:r w:rsidR="008142A0" w:rsidRPr="001B7751">
        <w:rPr>
          <w:rFonts w:asciiTheme="minorHAnsi" w:hAnsiTheme="minorHAnsi" w:cstheme="minorBidi"/>
          <w:color w:val="auto"/>
          <w:szCs w:val="22"/>
          <w:lang w:eastAsia="en-US"/>
        </w:rPr>
        <w:t xml:space="preserve"> metodiky KT202</w:t>
      </w:r>
      <w:r>
        <w:rPr>
          <w:rFonts w:asciiTheme="minorHAnsi" w:hAnsiTheme="minorHAnsi" w:cstheme="minorBidi"/>
          <w:color w:val="auto"/>
          <w:szCs w:val="22"/>
          <w:lang w:eastAsia="en-US"/>
        </w:rPr>
        <w:t>412</w:t>
      </w:r>
      <w:r w:rsidR="008142A0" w:rsidRPr="001B7751">
        <w:rPr>
          <w:rFonts w:asciiTheme="minorHAnsi" w:hAnsiTheme="minorHAnsi" w:cstheme="minorBidi"/>
          <w:color w:val="auto"/>
          <w:szCs w:val="22"/>
          <w:lang w:eastAsia="en-US"/>
        </w:rPr>
        <w:t>01</w:t>
      </w:r>
      <w:r>
        <w:rPr>
          <w:rFonts w:asciiTheme="minorHAnsi" w:hAnsiTheme="minorHAnsi" w:cstheme="minorBidi"/>
          <w:color w:val="auto"/>
          <w:szCs w:val="22"/>
          <w:lang w:eastAsia="en-US"/>
        </w:rPr>
        <w:t xml:space="preserve"> nové jednovýkazové kontroly</w:t>
      </w:r>
      <w:r w:rsidR="00801586">
        <w:rPr>
          <w:rFonts w:asciiTheme="minorHAnsi" w:hAnsiTheme="minorHAnsi" w:cstheme="minorBidi"/>
          <w:color w:val="auto"/>
          <w:szCs w:val="22"/>
          <w:lang w:eastAsia="en-US"/>
        </w:rPr>
        <w:t>.</w:t>
      </w:r>
    </w:p>
    <w:p w14:paraId="4B80C7CE" w14:textId="1439308D" w:rsidR="00F07ECD" w:rsidRPr="00EC0AC9" w:rsidRDefault="00F07ECD" w:rsidP="00EC0AC9">
      <w:pPr>
        <w:pStyle w:val="Default"/>
        <w:spacing w:before="120" w:after="120" w:line="276" w:lineRule="auto"/>
        <w:jc w:val="both"/>
        <w:rPr>
          <w:rFonts w:asciiTheme="minorHAnsi" w:hAnsiTheme="minorHAnsi" w:cstheme="minorBidi"/>
          <w:color w:val="0070C0"/>
          <w:szCs w:val="22"/>
          <w:lang w:eastAsia="en-US"/>
        </w:rPr>
      </w:pPr>
      <w:r w:rsidRPr="00EC0AC9">
        <w:rPr>
          <w:rFonts w:asciiTheme="minorHAnsi" w:hAnsiTheme="minorHAnsi" w:cstheme="minorBidi"/>
          <w:color w:val="0070C0"/>
          <w:szCs w:val="22"/>
          <w:lang w:eastAsia="en-US"/>
        </w:rPr>
        <w:t xml:space="preserve">Dále došlo k úpravě výkazů: </w:t>
      </w:r>
    </w:p>
    <w:p w14:paraId="246CCACC" w14:textId="2AB180AE" w:rsidR="00F07ECD" w:rsidRPr="00EC0AC9" w:rsidRDefault="00F07ECD" w:rsidP="00801586">
      <w:pPr>
        <w:pStyle w:val="Default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Bidi"/>
          <w:color w:val="0070C0"/>
          <w:szCs w:val="22"/>
          <w:lang w:eastAsia="en-US"/>
        </w:rPr>
      </w:pPr>
      <w:r w:rsidRPr="00EC0AC9">
        <w:rPr>
          <w:rFonts w:asciiTheme="minorHAnsi" w:hAnsiTheme="minorHAnsi" w:cstheme="minorBidi"/>
          <w:color w:val="0070C0"/>
          <w:szCs w:val="22"/>
          <w:lang w:eastAsia="en-US"/>
        </w:rPr>
        <w:t>Ve výkazu</w:t>
      </w:r>
      <w:r w:rsidR="00801586" w:rsidRPr="00EC0AC9">
        <w:rPr>
          <w:rFonts w:asciiTheme="minorHAnsi" w:hAnsiTheme="minorHAnsi" w:cstheme="minorBidi"/>
          <w:color w:val="0070C0"/>
          <w:szCs w:val="22"/>
          <w:lang w:eastAsia="en-US"/>
        </w:rPr>
        <w:t xml:space="preserve"> TCFIR01</w:t>
      </w:r>
      <w:r w:rsidRPr="00EC0AC9">
        <w:rPr>
          <w:rFonts w:asciiTheme="minorHAnsi" w:hAnsiTheme="minorHAnsi" w:cstheme="minorBidi"/>
          <w:color w:val="0070C0"/>
          <w:szCs w:val="22"/>
          <w:lang w:eastAsia="en-US"/>
        </w:rPr>
        <w:t xml:space="preserve"> TCF (ČNB) 01-01 v</w:t>
      </w:r>
      <w:r w:rsidR="00801586" w:rsidRPr="00EC0AC9">
        <w:rPr>
          <w:rFonts w:asciiTheme="minorHAnsi" w:hAnsiTheme="minorHAnsi" w:cstheme="minorBidi"/>
          <w:color w:val="0070C0"/>
          <w:szCs w:val="22"/>
          <w:lang w:eastAsia="en-US"/>
        </w:rPr>
        <w:t> </w:t>
      </w:r>
      <w:r w:rsidRPr="00EC0AC9">
        <w:rPr>
          <w:rFonts w:asciiTheme="minorHAnsi" w:hAnsiTheme="minorHAnsi" w:cstheme="minorBidi"/>
          <w:color w:val="0070C0"/>
          <w:szCs w:val="22"/>
          <w:lang w:eastAsia="en-US"/>
        </w:rPr>
        <w:t>datové oblasti TCF01_05b byl upraven popis ukazatele</w:t>
      </w:r>
      <w:r w:rsidRPr="00EC0AC9">
        <w:rPr>
          <w:color w:val="0070C0"/>
        </w:rPr>
        <w:t xml:space="preserve"> </w:t>
      </w:r>
      <w:r w:rsidRPr="00EC0AC9">
        <w:rPr>
          <w:rFonts w:asciiTheme="minorHAnsi" w:hAnsiTheme="minorHAnsi" w:cstheme="minorBidi"/>
          <w:color w:val="0070C0"/>
          <w:szCs w:val="22"/>
          <w:lang w:eastAsia="en-US"/>
        </w:rPr>
        <w:t>TCF0038</w:t>
      </w:r>
    </w:p>
    <w:p w14:paraId="1869CAF6" w14:textId="07C2AB0E" w:rsidR="00F07ECD" w:rsidRPr="00EC0AC9" w:rsidRDefault="00F07ECD" w:rsidP="00801586">
      <w:pPr>
        <w:pStyle w:val="Default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Bidi"/>
          <w:color w:val="0070C0"/>
          <w:szCs w:val="22"/>
          <w:lang w:eastAsia="en-US"/>
        </w:rPr>
      </w:pPr>
      <w:r w:rsidRPr="00EC0AC9">
        <w:rPr>
          <w:rFonts w:asciiTheme="minorHAnsi" w:hAnsiTheme="minorHAnsi" w:cstheme="minorBidi"/>
          <w:color w:val="0070C0"/>
          <w:szCs w:val="22"/>
          <w:lang w:eastAsia="en-US"/>
        </w:rPr>
        <w:t xml:space="preserve"> Ve výkazu </w:t>
      </w:r>
      <w:r w:rsidR="00801586" w:rsidRPr="00EC0AC9">
        <w:rPr>
          <w:rFonts w:asciiTheme="minorHAnsi" w:hAnsiTheme="minorHAnsi" w:cstheme="minorBidi"/>
          <w:color w:val="0070C0"/>
          <w:szCs w:val="22"/>
          <w:lang w:eastAsia="en-US"/>
        </w:rPr>
        <w:t xml:space="preserve">TCFIR02 </w:t>
      </w:r>
      <w:r w:rsidRPr="00EC0AC9">
        <w:rPr>
          <w:rFonts w:asciiTheme="minorHAnsi" w:hAnsiTheme="minorHAnsi" w:cstheme="minorBidi"/>
          <w:color w:val="0070C0"/>
          <w:szCs w:val="22"/>
          <w:lang w:eastAsia="en-US"/>
        </w:rPr>
        <w:t>TCF (ČNB) 02-01 v datové oblasti TCF02_23b byl vyměněn ukazatel</w:t>
      </w:r>
      <w:r w:rsidRPr="00EC0AC9">
        <w:rPr>
          <w:color w:val="0070C0"/>
        </w:rPr>
        <w:t xml:space="preserve"> </w:t>
      </w:r>
      <w:r w:rsidRPr="00EC0AC9">
        <w:rPr>
          <w:rFonts w:asciiTheme="minorHAnsi" w:hAnsiTheme="minorHAnsi" w:cstheme="minorBidi"/>
          <w:color w:val="0070C0"/>
          <w:szCs w:val="22"/>
          <w:lang w:eastAsia="en-US"/>
        </w:rPr>
        <w:t>TCF0038 za TCF0036</w:t>
      </w:r>
    </w:p>
    <w:p w14:paraId="14FB0885" w14:textId="1E075141" w:rsidR="00501FA0" w:rsidRDefault="003656CF" w:rsidP="00661430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V současné chvíli</w:t>
      </w:r>
      <w:r w:rsidR="00501FA0">
        <w:rPr>
          <w:sz w:val="24"/>
        </w:rPr>
        <w:t xml:space="preserve"> není </w:t>
      </w:r>
      <w:r w:rsidR="00501FA0" w:rsidRPr="00B978E6">
        <w:rPr>
          <w:sz w:val="24"/>
        </w:rPr>
        <w:t>v </w:t>
      </w:r>
      <w:r w:rsidR="00501FA0" w:rsidRPr="00B978E6">
        <w:rPr>
          <w:sz w:val="24"/>
          <w:szCs w:val="24"/>
        </w:rPr>
        <w:t>ČR licencov</w:t>
      </w:r>
      <w:r w:rsidR="0032006E">
        <w:rPr>
          <w:sz w:val="24"/>
          <w:szCs w:val="24"/>
        </w:rPr>
        <w:t>á</w:t>
      </w:r>
      <w:r w:rsidR="00501FA0" w:rsidRPr="00B978E6">
        <w:rPr>
          <w:sz w:val="24"/>
          <w:szCs w:val="24"/>
        </w:rPr>
        <w:t>n</w:t>
      </w:r>
      <w:r w:rsidR="0032006E">
        <w:rPr>
          <w:sz w:val="24"/>
          <w:szCs w:val="24"/>
        </w:rPr>
        <w:t>a</w:t>
      </w:r>
      <w:r w:rsidR="00501FA0" w:rsidRPr="00B978E6">
        <w:rPr>
          <w:sz w:val="24"/>
          <w:szCs w:val="24"/>
        </w:rPr>
        <w:t xml:space="preserve"> žádná pobočka ze třetí země.</w:t>
      </w:r>
    </w:p>
    <w:p w14:paraId="51220ECC" w14:textId="77777777" w:rsidR="007C75FB" w:rsidRDefault="007C75FB" w:rsidP="00661430">
      <w:pPr>
        <w:spacing w:before="120" w:after="0"/>
        <w:jc w:val="both"/>
        <w:rPr>
          <w:sz w:val="24"/>
          <w:szCs w:val="24"/>
        </w:rPr>
      </w:pPr>
    </w:p>
    <w:p w14:paraId="228B89C8" w14:textId="1A6D6E3C" w:rsidR="00B24151" w:rsidRDefault="00501FA0" w:rsidP="00E43EB0">
      <w:pPr>
        <w:pStyle w:val="Default"/>
        <w:keepNext/>
        <w:numPr>
          <w:ilvl w:val="0"/>
          <w:numId w:val="2"/>
        </w:numPr>
        <w:spacing w:before="120" w:after="120" w:line="320" w:lineRule="exact"/>
        <w:jc w:val="both"/>
        <w:rPr>
          <w:rFonts w:asciiTheme="minorHAnsi" w:hAnsiTheme="minorHAnsi" w:cstheme="minorBidi"/>
          <w:b/>
          <w:color w:val="auto"/>
          <w:szCs w:val="22"/>
          <w:lang w:eastAsia="en-US"/>
        </w:rPr>
      </w:pPr>
      <w:r w:rsidRPr="00211A2F">
        <w:rPr>
          <w:rFonts w:asciiTheme="minorHAnsi" w:hAnsiTheme="minorHAnsi" w:cstheme="minorBidi"/>
          <w:b/>
          <w:color w:val="auto"/>
          <w:szCs w:val="22"/>
          <w:lang w:eastAsia="en-US"/>
        </w:rPr>
        <w:t>Předpokládané změny v jednotném vykazovacím rámci EBA - investiční</w:t>
      </w:r>
      <w:r w:rsidRPr="00211A2F">
        <w:rPr>
          <w:rFonts w:asciiTheme="majorHAnsi" w:eastAsiaTheme="majorEastAsia" w:hAnsiTheme="majorHAnsi" w:cstheme="majorBidi"/>
          <w:b/>
          <w:bCs/>
          <w:color w:val="44546A" w:themeColor="text2"/>
          <w:sz w:val="26"/>
          <w:szCs w:val="26"/>
          <w:lang w:eastAsia="en-US"/>
        </w:rPr>
        <w:t xml:space="preserve"> </w:t>
      </w:r>
      <w:r w:rsidRPr="00211A2F">
        <w:rPr>
          <w:rFonts w:asciiTheme="minorHAnsi" w:hAnsiTheme="minorHAnsi" w:cstheme="minorBidi"/>
          <w:b/>
          <w:color w:val="auto"/>
          <w:szCs w:val="22"/>
          <w:lang w:eastAsia="en-US"/>
        </w:rPr>
        <w:t>podniky</w:t>
      </w:r>
      <w:r w:rsidR="00B53AD7">
        <w:rPr>
          <w:rFonts w:asciiTheme="minorHAnsi" w:hAnsiTheme="minorHAnsi" w:cstheme="minorBidi"/>
          <w:b/>
          <w:color w:val="auto"/>
          <w:szCs w:val="22"/>
          <w:lang w:eastAsia="en-US"/>
        </w:rPr>
        <w:t xml:space="preserve"> třídy 2</w:t>
      </w:r>
      <w:r w:rsidR="00732964">
        <w:rPr>
          <w:rFonts w:asciiTheme="minorHAnsi" w:hAnsiTheme="minorHAnsi" w:cstheme="minorBidi"/>
          <w:b/>
          <w:color w:val="auto"/>
          <w:szCs w:val="22"/>
          <w:lang w:eastAsia="en-US"/>
        </w:rPr>
        <w:t xml:space="preserve"> (</w:t>
      </w:r>
      <w:r w:rsidR="001E0C33">
        <w:rPr>
          <w:rFonts w:asciiTheme="minorHAnsi" w:hAnsiTheme="minorHAnsi" w:cstheme="minorBidi"/>
          <w:b/>
          <w:color w:val="auto"/>
          <w:szCs w:val="22"/>
          <w:lang w:eastAsia="en-US"/>
        </w:rPr>
        <w:t>dále jen IF třída 2</w:t>
      </w:r>
      <w:r w:rsidR="00732964">
        <w:rPr>
          <w:rFonts w:asciiTheme="minorHAnsi" w:hAnsiTheme="minorHAnsi" w:cstheme="minorBidi"/>
          <w:b/>
          <w:color w:val="auto"/>
          <w:szCs w:val="22"/>
          <w:lang w:eastAsia="en-US"/>
        </w:rPr>
        <w:t>)</w:t>
      </w:r>
      <w:r w:rsidR="00E43EB0">
        <w:rPr>
          <w:rFonts w:asciiTheme="minorHAnsi" w:hAnsiTheme="minorHAnsi" w:cstheme="minorBidi"/>
          <w:b/>
          <w:color w:val="auto"/>
          <w:szCs w:val="22"/>
          <w:lang w:eastAsia="en-US"/>
        </w:rPr>
        <w:t xml:space="preserve"> </w:t>
      </w:r>
      <w:r w:rsidR="00E43EB0" w:rsidRPr="00E43EB0">
        <w:rPr>
          <w:rFonts w:asciiTheme="minorHAnsi" w:hAnsiTheme="minorHAnsi" w:cstheme="minorBidi"/>
          <w:b/>
          <w:color w:val="0070C0"/>
          <w:szCs w:val="22"/>
          <w:lang w:eastAsia="en-US"/>
        </w:rPr>
        <w:t>beze změny</w:t>
      </w:r>
    </w:p>
    <w:p w14:paraId="0A5FDCB6" w14:textId="29E8592B" w:rsidR="00935052" w:rsidRPr="00935052" w:rsidRDefault="00935052" w:rsidP="001E0C33">
      <w:pPr>
        <w:keepNext/>
        <w:spacing w:before="120" w:after="0"/>
        <w:jc w:val="both"/>
        <w:rPr>
          <w:rFonts w:eastAsia="Calibri" w:cs="Times New Roman"/>
          <w:noProof/>
          <w:sz w:val="24"/>
          <w:szCs w:val="24"/>
        </w:rPr>
      </w:pPr>
      <w:r w:rsidRPr="003656CF">
        <w:rPr>
          <w:rFonts w:eastAsia="Calibri" w:cs="Times New Roman"/>
          <w:noProof/>
          <w:sz w:val="24"/>
          <w:szCs w:val="24"/>
        </w:rPr>
        <w:t xml:space="preserve">Další informace k metodikám EBA jsou publikovány i na webových stránkách EBA pod záložkou </w:t>
      </w:r>
      <w:r w:rsidR="003656CF" w:rsidRPr="003656CF">
        <w:rPr>
          <w:rFonts w:eastAsia="Calibri" w:cs="Times New Roman"/>
          <w:noProof/>
          <w:sz w:val="24"/>
          <w:szCs w:val="24"/>
        </w:rPr>
        <w:t xml:space="preserve">Risk analysis and data – EBA Reporting </w:t>
      </w:r>
      <w:hyperlink r:id="rId8" w:history="1">
        <w:r w:rsidR="003656CF" w:rsidRPr="003656CF">
          <w:rPr>
            <w:rStyle w:val="Hypertextovodkaz"/>
            <w:rFonts w:eastAsia="Calibri" w:cs="Times New Roman"/>
            <w:noProof/>
            <w:sz w:val="24"/>
            <w:szCs w:val="24"/>
          </w:rPr>
          <w:t>Frameworks</w:t>
        </w:r>
      </w:hyperlink>
      <w:r w:rsidR="003656CF">
        <w:rPr>
          <w:rFonts w:eastAsia="Calibri" w:cs="Times New Roman"/>
          <w:noProof/>
          <w:sz w:val="24"/>
          <w:szCs w:val="24"/>
        </w:rPr>
        <w:t xml:space="preserve"> (je třeba vždy vybrat Framework, který vás zajímá). </w:t>
      </w:r>
    </w:p>
    <w:p w14:paraId="3CF7E057" w14:textId="77777777" w:rsidR="00935052" w:rsidRPr="00211A2F" w:rsidRDefault="00935052" w:rsidP="00661430">
      <w:pPr>
        <w:pStyle w:val="Default"/>
        <w:spacing w:before="120" w:after="120" w:line="320" w:lineRule="exact"/>
        <w:ind w:left="426"/>
        <w:jc w:val="both"/>
        <w:rPr>
          <w:rFonts w:asciiTheme="minorHAnsi" w:hAnsiTheme="minorHAnsi" w:cstheme="minorBidi"/>
          <w:b/>
          <w:color w:val="auto"/>
          <w:szCs w:val="22"/>
          <w:lang w:eastAsia="en-US"/>
        </w:rPr>
      </w:pPr>
    </w:p>
    <w:p w14:paraId="3B2ED216" w14:textId="63CFFEF4" w:rsidR="005F4F55" w:rsidRPr="00F15AF8" w:rsidRDefault="00000421" w:rsidP="00661430">
      <w:pPr>
        <w:spacing w:before="240"/>
        <w:jc w:val="both"/>
        <w:rPr>
          <w:b/>
          <w:sz w:val="24"/>
        </w:rPr>
      </w:pPr>
      <w:r>
        <w:rPr>
          <w:b/>
          <w:sz w:val="24"/>
        </w:rPr>
        <w:t>D</w:t>
      </w:r>
      <w:r w:rsidRPr="00000421">
        <w:rPr>
          <w:b/>
          <w:sz w:val="24"/>
        </w:rPr>
        <w:t xml:space="preserve">iversity </w:t>
      </w:r>
      <w:proofErr w:type="spellStart"/>
      <w:r w:rsidRPr="00000421">
        <w:rPr>
          <w:b/>
          <w:sz w:val="24"/>
        </w:rPr>
        <w:t>benchmarking</w:t>
      </w:r>
      <w:proofErr w:type="spellEnd"/>
      <w:r>
        <w:rPr>
          <w:b/>
          <w:sz w:val="24"/>
        </w:rPr>
        <w:t>, s</w:t>
      </w:r>
      <w:r w:rsidR="005F4F55" w:rsidRPr="00F15AF8">
        <w:rPr>
          <w:b/>
          <w:sz w:val="24"/>
        </w:rPr>
        <w:t xml:space="preserve">rovnávání </w:t>
      </w:r>
      <w:r w:rsidR="00601434" w:rsidRPr="00F15AF8">
        <w:rPr>
          <w:b/>
          <w:sz w:val="24"/>
        </w:rPr>
        <w:t>postupů v oblasti rozmanitosti</w:t>
      </w:r>
      <w:r w:rsidR="005F4F55" w:rsidRPr="00F15AF8">
        <w:rPr>
          <w:b/>
          <w:sz w:val="24"/>
        </w:rPr>
        <w:t xml:space="preserve"> podle IFD (</w:t>
      </w:r>
      <w:r w:rsidR="001E0C33">
        <w:rPr>
          <w:b/>
          <w:sz w:val="24"/>
        </w:rPr>
        <w:t>IF třída</w:t>
      </w:r>
      <w:r w:rsidR="005F4F55" w:rsidRPr="00F15AF8">
        <w:rPr>
          <w:b/>
          <w:sz w:val="24"/>
        </w:rPr>
        <w:t xml:space="preserve"> 2) </w:t>
      </w:r>
      <w:r w:rsidR="00E43EB0" w:rsidRPr="00E43EB0">
        <w:rPr>
          <w:b/>
          <w:color w:val="0070C0"/>
          <w:sz w:val="24"/>
        </w:rPr>
        <w:t>beze změny</w:t>
      </w:r>
    </w:p>
    <w:p w14:paraId="33F4B13A" w14:textId="36F56F30" w:rsidR="00501FA0" w:rsidRDefault="00331CDE" w:rsidP="00661430">
      <w:pPr>
        <w:pStyle w:val="Odstavecseseznamem"/>
        <w:spacing w:before="120" w:after="120"/>
        <w:ind w:left="0"/>
        <w:jc w:val="both"/>
        <w:rPr>
          <w:sz w:val="24"/>
        </w:rPr>
      </w:pPr>
      <w:r>
        <w:rPr>
          <w:sz w:val="24"/>
        </w:rPr>
        <w:t>O</w:t>
      </w:r>
      <w:r w:rsidRPr="003814DA">
        <w:rPr>
          <w:sz w:val="24"/>
        </w:rPr>
        <w:t>d institucí a investičních podniků s výjimkou malých a nepropojených investičních podniků</w:t>
      </w:r>
      <w:r>
        <w:rPr>
          <w:sz w:val="24"/>
        </w:rPr>
        <w:t xml:space="preserve"> (dále jen </w:t>
      </w:r>
      <w:r w:rsidR="00B34054">
        <w:rPr>
          <w:sz w:val="24"/>
        </w:rPr>
        <w:t xml:space="preserve">IF </w:t>
      </w:r>
      <w:r>
        <w:rPr>
          <w:sz w:val="24"/>
        </w:rPr>
        <w:t>třída 2) na individuálním základě bude ČNB dle obecného</w:t>
      </w:r>
      <w:r w:rsidRPr="006F59C0">
        <w:rPr>
          <w:sz w:val="24"/>
        </w:rPr>
        <w:t xml:space="preserve"> pokyn</w:t>
      </w:r>
      <w:r>
        <w:rPr>
          <w:sz w:val="24"/>
        </w:rPr>
        <w:t>u</w:t>
      </w:r>
      <w:r>
        <w:t xml:space="preserve"> </w:t>
      </w:r>
      <w:hyperlink r:id="rId9" w:history="1">
        <w:r w:rsidRPr="003814DA">
          <w:rPr>
            <w:rStyle w:val="Hypertextovodkaz"/>
            <w:sz w:val="24"/>
            <w:szCs w:val="24"/>
          </w:rPr>
          <w:t>EBA/GL/2023/08</w:t>
        </w:r>
      </w:hyperlink>
      <w:r>
        <w:t xml:space="preserve"> </w:t>
      </w:r>
      <w:r>
        <w:rPr>
          <w:sz w:val="24"/>
        </w:rPr>
        <w:t xml:space="preserve">sbírat </w:t>
      </w:r>
      <w:r w:rsidRPr="003814DA">
        <w:rPr>
          <w:sz w:val="24"/>
        </w:rPr>
        <w:t>dat</w:t>
      </w:r>
      <w:r>
        <w:rPr>
          <w:sz w:val="24"/>
        </w:rPr>
        <w:t>a</w:t>
      </w:r>
      <w:r w:rsidRPr="003814DA">
        <w:rPr>
          <w:sz w:val="24"/>
        </w:rPr>
        <w:t xml:space="preserve"> pro srovnávání postupů v oblasti rozmanitosti (tzv. diversity </w:t>
      </w:r>
      <w:proofErr w:type="spellStart"/>
      <w:r w:rsidRPr="003814DA">
        <w:rPr>
          <w:sz w:val="24"/>
        </w:rPr>
        <w:t>benchmarking</w:t>
      </w:r>
      <w:proofErr w:type="spellEnd"/>
      <w:r w:rsidRPr="003814DA">
        <w:rPr>
          <w:sz w:val="24"/>
        </w:rPr>
        <w:t>)</w:t>
      </w:r>
      <w:r>
        <w:rPr>
          <w:sz w:val="24"/>
        </w:rPr>
        <w:t>. B</w:t>
      </w:r>
      <w:r w:rsidR="003814DA">
        <w:rPr>
          <w:sz w:val="24"/>
        </w:rPr>
        <w:t xml:space="preserve">udou </w:t>
      </w:r>
      <w:r>
        <w:rPr>
          <w:sz w:val="24"/>
        </w:rPr>
        <w:t xml:space="preserve">se </w:t>
      </w:r>
      <w:r w:rsidR="003814DA" w:rsidRPr="003814DA">
        <w:rPr>
          <w:sz w:val="24"/>
        </w:rPr>
        <w:t xml:space="preserve">shromažďovat </w:t>
      </w:r>
      <w:r w:rsidR="003814DA">
        <w:rPr>
          <w:sz w:val="24"/>
        </w:rPr>
        <w:t xml:space="preserve">informace </w:t>
      </w:r>
      <w:r w:rsidR="003814DA" w:rsidRPr="003814DA">
        <w:rPr>
          <w:sz w:val="24"/>
        </w:rPr>
        <w:t xml:space="preserve">o postupech </w:t>
      </w:r>
      <w:r w:rsidR="00DF2B61">
        <w:rPr>
          <w:sz w:val="24"/>
        </w:rPr>
        <w:t>zajištění</w:t>
      </w:r>
      <w:r w:rsidR="003814DA" w:rsidRPr="003814DA">
        <w:rPr>
          <w:sz w:val="24"/>
        </w:rPr>
        <w:t xml:space="preserve"> rozmanitosti na úrovni vedoucího orgánu, včetně složení</w:t>
      </w:r>
      <w:r w:rsidR="00DF2B61">
        <w:rPr>
          <w:sz w:val="24"/>
        </w:rPr>
        <w:t xml:space="preserve"> vedoucího orgánu</w:t>
      </w:r>
      <w:r w:rsidR="003814DA" w:rsidRPr="003814DA">
        <w:rPr>
          <w:sz w:val="24"/>
        </w:rPr>
        <w:t xml:space="preserve">, politik </w:t>
      </w:r>
      <w:r w:rsidR="00DF2B61">
        <w:rPr>
          <w:sz w:val="24"/>
        </w:rPr>
        <w:t>rozmanitosti a rozdílů v odměňování podle pohlaví na úrovni vedoucího orgánu.</w:t>
      </w:r>
      <w:r w:rsidR="003814DA" w:rsidRPr="003814DA">
        <w:t xml:space="preserve"> </w:t>
      </w:r>
      <w:r w:rsidR="003814DA" w:rsidRPr="003814DA">
        <w:rPr>
          <w:sz w:val="24"/>
        </w:rPr>
        <w:t>Podle obecných pokynů a EBA rozhodnutí</w:t>
      </w:r>
      <w:r>
        <w:rPr>
          <w:sz w:val="24"/>
        </w:rPr>
        <w:t xml:space="preserve"> proběhne první</w:t>
      </w:r>
      <w:r w:rsidR="003814DA" w:rsidRPr="003814DA">
        <w:rPr>
          <w:sz w:val="24"/>
        </w:rPr>
        <w:t xml:space="preserve"> </w:t>
      </w:r>
      <w:r w:rsidR="007C75FB">
        <w:rPr>
          <w:sz w:val="24"/>
        </w:rPr>
        <w:t>sběr dat</w:t>
      </w:r>
      <w:r w:rsidR="003814DA" w:rsidRPr="003814DA">
        <w:rPr>
          <w:sz w:val="24"/>
        </w:rPr>
        <w:t xml:space="preserve"> </w:t>
      </w:r>
      <w:r w:rsidR="003814DA">
        <w:rPr>
          <w:sz w:val="24"/>
        </w:rPr>
        <w:t xml:space="preserve">v roce 2025 (data za </w:t>
      </w:r>
      <w:r w:rsidR="007C75FB">
        <w:rPr>
          <w:sz w:val="24"/>
        </w:rPr>
        <w:t xml:space="preserve">prosinec </w:t>
      </w:r>
      <w:r w:rsidR="003814DA">
        <w:rPr>
          <w:sz w:val="24"/>
        </w:rPr>
        <w:t xml:space="preserve">2024) a </w:t>
      </w:r>
      <w:r w:rsidR="003814DA" w:rsidRPr="006F59C0">
        <w:rPr>
          <w:sz w:val="24"/>
        </w:rPr>
        <w:t>opakovat se bude každé tři roky</w:t>
      </w:r>
      <w:r w:rsidR="00B24151" w:rsidRPr="006F59C0">
        <w:rPr>
          <w:sz w:val="24"/>
        </w:rPr>
        <w:t xml:space="preserve">. S ohledem na </w:t>
      </w:r>
      <w:r>
        <w:rPr>
          <w:sz w:val="24"/>
        </w:rPr>
        <w:t>frekvenci a</w:t>
      </w:r>
      <w:r w:rsidR="00B24151" w:rsidRPr="006F59C0">
        <w:rPr>
          <w:sz w:val="24"/>
        </w:rPr>
        <w:t xml:space="preserve"> měnící </w:t>
      </w:r>
      <w:r w:rsidR="00172D47" w:rsidRPr="006F59C0">
        <w:rPr>
          <w:sz w:val="24"/>
        </w:rPr>
        <w:t xml:space="preserve">se </w:t>
      </w:r>
      <w:r w:rsidR="00B24151" w:rsidRPr="006F59C0">
        <w:rPr>
          <w:sz w:val="24"/>
        </w:rPr>
        <w:t xml:space="preserve">množství dotčených </w:t>
      </w:r>
      <w:r w:rsidR="00B34054">
        <w:rPr>
          <w:sz w:val="24"/>
        </w:rPr>
        <w:t>IF třídy 2</w:t>
      </w:r>
      <w:r w:rsidR="00B24151" w:rsidRPr="006F59C0">
        <w:rPr>
          <w:sz w:val="24"/>
        </w:rPr>
        <w:t xml:space="preserve"> se bude postupovat prostřednictvím dohledové výzvy, na základě níž vybraní </w:t>
      </w:r>
      <w:r w:rsidR="00B34054">
        <w:rPr>
          <w:sz w:val="24"/>
        </w:rPr>
        <w:t>IF třídy 2</w:t>
      </w:r>
      <w:r w:rsidR="00B34054" w:rsidRPr="006F59C0">
        <w:rPr>
          <w:sz w:val="24"/>
        </w:rPr>
        <w:t xml:space="preserve"> </w:t>
      </w:r>
      <w:r w:rsidR="00B24151" w:rsidRPr="006F59C0">
        <w:rPr>
          <w:sz w:val="24"/>
        </w:rPr>
        <w:t>vyplní příslušný výkaz</w:t>
      </w:r>
      <w:r>
        <w:rPr>
          <w:sz w:val="24"/>
        </w:rPr>
        <w:t xml:space="preserve"> </w:t>
      </w:r>
      <w:r w:rsidR="00B24151" w:rsidRPr="006F59C0">
        <w:rPr>
          <w:sz w:val="24"/>
        </w:rPr>
        <w:t>v systému SDAT</w:t>
      </w:r>
      <w:r w:rsidR="00384FA4">
        <w:rPr>
          <w:sz w:val="24"/>
        </w:rPr>
        <w:t>, který</w:t>
      </w:r>
      <w:r w:rsidR="00B24151" w:rsidRPr="006F59C0">
        <w:rPr>
          <w:sz w:val="24"/>
        </w:rPr>
        <w:t xml:space="preserve"> bude vygenerován</w:t>
      </w:r>
      <w:r w:rsidR="00384FA4">
        <w:rPr>
          <w:sz w:val="24"/>
        </w:rPr>
        <w:t xml:space="preserve"> jako</w:t>
      </w:r>
      <w:r w:rsidR="00B24151" w:rsidRPr="006F59C0">
        <w:rPr>
          <w:sz w:val="24"/>
        </w:rPr>
        <w:t xml:space="preserve"> jednorázová vykazovací povinnost.</w:t>
      </w:r>
      <w:r w:rsidR="00935052">
        <w:rPr>
          <w:sz w:val="24"/>
        </w:rPr>
        <w:t xml:space="preserve"> </w:t>
      </w:r>
    </w:p>
    <w:p w14:paraId="6BF3E38F" w14:textId="49CBD804" w:rsidR="002B3D6F" w:rsidRDefault="002B3D6F" w:rsidP="00661430">
      <w:pPr>
        <w:pStyle w:val="Odstavecseseznamem"/>
        <w:spacing w:before="120" w:after="120"/>
        <w:ind w:left="0"/>
        <w:jc w:val="both"/>
        <w:rPr>
          <w:sz w:val="24"/>
        </w:rPr>
      </w:pPr>
    </w:p>
    <w:p w14:paraId="2C2AF842" w14:textId="2AF81441" w:rsidR="00721B6E" w:rsidRDefault="00721B6E" w:rsidP="00661430">
      <w:pPr>
        <w:pStyle w:val="Odstavecseseznamem"/>
        <w:spacing w:before="120" w:after="120"/>
        <w:ind w:left="0"/>
        <w:jc w:val="both"/>
        <w:rPr>
          <w:sz w:val="24"/>
        </w:rPr>
      </w:pPr>
    </w:p>
    <w:p w14:paraId="44D9907D" w14:textId="2E04D368" w:rsidR="002B3D6F" w:rsidRPr="00F15AF8" w:rsidRDefault="00401162" w:rsidP="00661430">
      <w:pPr>
        <w:jc w:val="both"/>
        <w:rPr>
          <w:b/>
          <w:sz w:val="24"/>
        </w:rPr>
      </w:pPr>
      <w:r>
        <w:rPr>
          <w:b/>
          <w:sz w:val="24"/>
        </w:rPr>
        <w:lastRenderedPageBreak/>
        <w:t>Dopad</w:t>
      </w:r>
      <w:r w:rsidRPr="00F15AF8">
        <w:rPr>
          <w:b/>
          <w:sz w:val="24"/>
        </w:rPr>
        <w:t xml:space="preserve"> </w:t>
      </w:r>
      <w:r w:rsidR="002B3D6F" w:rsidRPr="00F15AF8">
        <w:rPr>
          <w:b/>
          <w:sz w:val="24"/>
        </w:rPr>
        <w:t>CRR3 na IFR reporting</w:t>
      </w:r>
      <w:r w:rsidR="00F25E52">
        <w:rPr>
          <w:b/>
          <w:sz w:val="24"/>
        </w:rPr>
        <w:t xml:space="preserve"> (</w:t>
      </w:r>
      <w:r w:rsidR="00B34054">
        <w:rPr>
          <w:b/>
          <w:sz w:val="24"/>
        </w:rPr>
        <w:t>IF třída 2</w:t>
      </w:r>
      <w:r w:rsidR="00F25E52">
        <w:rPr>
          <w:b/>
          <w:sz w:val="24"/>
        </w:rPr>
        <w:t>)</w:t>
      </w:r>
      <w:r w:rsidR="00E43EB0" w:rsidRPr="00E43EB0">
        <w:rPr>
          <w:b/>
          <w:color w:val="0070C0"/>
          <w:sz w:val="24"/>
        </w:rPr>
        <w:t xml:space="preserve"> beze změny</w:t>
      </w:r>
    </w:p>
    <w:p w14:paraId="3148FA7B" w14:textId="760E2DC2" w:rsidR="003656CF" w:rsidRDefault="00B34054" w:rsidP="00661430">
      <w:pPr>
        <w:pStyle w:val="Odstavecseseznamem"/>
        <w:spacing w:before="120" w:after="120"/>
        <w:ind w:left="0"/>
        <w:jc w:val="both"/>
        <w:rPr>
          <w:sz w:val="24"/>
        </w:rPr>
      </w:pPr>
      <w:r>
        <w:rPr>
          <w:sz w:val="24"/>
        </w:rPr>
        <w:t>Platnost změny pro IF třídy 2 se předpokládá</w:t>
      </w:r>
      <w:r w:rsidR="00401162" w:rsidRPr="002B3D6F">
        <w:rPr>
          <w:sz w:val="24"/>
        </w:rPr>
        <w:t xml:space="preserve"> od 1.</w:t>
      </w:r>
      <w:r w:rsidR="00401162">
        <w:rPr>
          <w:sz w:val="24"/>
        </w:rPr>
        <w:t xml:space="preserve"> </w:t>
      </w:r>
      <w:r w:rsidR="00401162" w:rsidRPr="002B3D6F">
        <w:rPr>
          <w:sz w:val="24"/>
        </w:rPr>
        <w:t>1.</w:t>
      </w:r>
      <w:r w:rsidR="00401162">
        <w:rPr>
          <w:sz w:val="24"/>
        </w:rPr>
        <w:t xml:space="preserve"> </w:t>
      </w:r>
      <w:r w:rsidR="00401162" w:rsidRPr="002B3D6F">
        <w:rPr>
          <w:sz w:val="24"/>
        </w:rPr>
        <w:t>2025</w:t>
      </w:r>
      <w:r w:rsidR="003656CF">
        <w:rPr>
          <w:sz w:val="24"/>
        </w:rPr>
        <w:t xml:space="preserve"> (Framework 4.0)</w:t>
      </w:r>
      <w:r w:rsidR="00401162">
        <w:rPr>
          <w:sz w:val="24"/>
        </w:rPr>
        <w:t>.</w:t>
      </w:r>
      <w:r>
        <w:rPr>
          <w:sz w:val="24"/>
        </w:rPr>
        <w:t xml:space="preserve"> </w:t>
      </w:r>
      <w:r w:rsidR="00401162">
        <w:rPr>
          <w:sz w:val="24"/>
        </w:rPr>
        <w:t>Ve</w:t>
      </w:r>
      <w:r w:rsidR="00180FD2" w:rsidRPr="002B3D6F">
        <w:rPr>
          <w:sz w:val="24"/>
        </w:rPr>
        <w:t xml:space="preserve"> </w:t>
      </w:r>
      <w:r w:rsidR="005D679E" w:rsidRPr="002B3D6F">
        <w:rPr>
          <w:sz w:val="24"/>
        </w:rPr>
        <w:t>výkaz</w:t>
      </w:r>
      <w:r w:rsidR="005D679E">
        <w:rPr>
          <w:sz w:val="24"/>
        </w:rPr>
        <w:t>u</w:t>
      </w:r>
      <w:r w:rsidR="005D679E" w:rsidRPr="002B3D6F">
        <w:rPr>
          <w:sz w:val="24"/>
        </w:rPr>
        <w:t xml:space="preserve"> </w:t>
      </w:r>
      <w:r w:rsidR="005D679E" w:rsidRPr="00E43EB0">
        <w:rPr>
          <w:b/>
          <w:sz w:val="24"/>
        </w:rPr>
        <w:t>if_class2</w:t>
      </w:r>
      <w:r w:rsidR="00401162" w:rsidRPr="00E43EB0">
        <w:rPr>
          <w:b/>
          <w:sz w:val="24"/>
        </w:rPr>
        <w:t xml:space="preserve"> </w:t>
      </w:r>
      <w:r w:rsidR="00401162">
        <w:rPr>
          <w:sz w:val="24"/>
        </w:rPr>
        <w:t xml:space="preserve">se nachází sdílené datové oblasti s bankami, </w:t>
      </w:r>
      <w:r w:rsidR="00597587">
        <w:rPr>
          <w:sz w:val="24"/>
        </w:rPr>
        <w:t>které</w:t>
      </w:r>
      <w:r w:rsidR="00401162">
        <w:rPr>
          <w:sz w:val="24"/>
        </w:rPr>
        <w:t xml:space="preserve"> začínají písmenem C (</w:t>
      </w:r>
      <w:r w:rsidR="002B3D6F" w:rsidRPr="002B3D6F">
        <w:rPr>
          <w:sz w:val="24"/>
        </w:rPr>
        <w:t>C</w:t>
      </w:r>
      <w:r w:rsidR="00401162">
        <w:rPr>
          <w:sz w:val="24"/>
        </w:rPr>
        <w:t>_</w:t>
      </w:r>
      <w:r w:rsidR="002B3D6F" w:rsidRPr="002B3D6F">
        <w:rPr>
          <w:sz w:val="24"/>
        </w:rPr>
        <w:t>18</w:t>
      </w:r>
      <w:r w:rsidR="00401162">
        <w:rPr>
          <w:sz w:val="24"/>
        </w:rPr>
        <w:t xml:space="preserve">.00 až </w:t>
      </w:r>
      <w:r w:rsidR="002B3D6F" w:rsidRPr="002B3D6F">
        <w:rPr>
          <w:sz w:val="24"/>
        </w:rPr>
        <w:t>C</w:t>
      </w:r>
      <w:r w:rsidR="00401162">
        <w:rPr>
          <w:sz w:val="24"/>
        </w:rPr>
        <w:t>_</w:t>
      </w:r>
      <w:r w:rsidR="002B3D6F" w:rsidRPr="002B3D6F">
        <w:rPr>
          <w:sz w:val="24"/>
        </w:rPr>
        <w:t>24</w:t>
      </w:r>
      <w:r w:rsidR="00401162">
        <w:rPr>
          <w:sz w:val="24"/>
        </w:rPr>
        <w:t>.00</w:t>
      </w:r>
      <w:r w:rsidR="002B3D6F" w:rsidRPr="002B3D6F">
        <w:rPr>
          <w:sz w:val="24"/>
        </w:rPr>
        <w:t>, C</w:t>
      </w:r>
      <w:r w:rsidR="00401162">
        <w:rPr>
          <w:sz w:val="24"/>
        </w:rPr>
        <w:t>_</w:t>
      </w:r>
      <w:r w:rsidR="002B3D6F" w:rsidRPr="002B3D6F">
        <w:rPr>
          <w:sz w:val="24"/>
        </w:rPr>
        <w:t>25</w:t>
      </w:r>
      <w:r w:rsidR="00401162">
        <w:rPr>
          <w:sz w:val="24"/>
        </w:rPr>
        <w:t>.00</w:t>
      </w:r>
      <w:r w:rsidR="002B3D6F" w:rsidRPr="002B3D6F">
        <w:rPr>
          <w:sz w:val="24"/>
        </w:rPr>
        <w:t xml:space="preserve"> a C</w:t>
      </w:r>
      <w:r w:rsidR="00401162">
        <w:rPr>
          <w:sz w:val="24"/>
        </w:rPr>
        <w:t>_</w:t>
      </w:r>
      <w:r w:rsidR="002B3D6F" w:rsidRPr="002B3D6F">
        <w:rPr>
          <w:sz w:val="24"/>
        </w:rPr>
        <w:t>34</w:t>
      </w:r>
      <w:r w:rsidR="00401162">
        <w:rPr>
          <w:sz w:val="24"/>
        </w:rPr>
        <w:t>_02</w:t>
      </w:r>
      <w:r w:rsidR="002B3D6F" w:rsidRPr="002B3D6F">
        <w:rPr>
          <w:sz w:val="24"/>
        </w:rPr>
        <w:t>)</w:t>
      </w:r>
      <w:r w:rsidR="00401162">
        <w:rPr>
          <w:sz w:val="24"/>
        </w:rPr>
        <w:t>. V</w:t>
      </w:r>
      <w:r w:rsidR="002B3D6F" w:rsidRPr="002B3D6F">
        <w:rPr>
          <w:sz w:val="24"/>
        </w:rPr>
        <w:t xml:space="preserve"> souvislosti se změnami v CRR3</w:t>
      </w:r>
      <w:r w:rsidR="00401162">
        <w:rPr>
          <w:sz w:val="24"/>
        </w:rPr>
        <w:t xml:space="preserve"> </w:t>
      </w:r>
      <w:r>
        <w:rPr>
          <w:sz w:val="24"/>
        </w:rPr>
        <w:t>dojde ke</w:t>
      </w:r>
      <w:r w:rsidRPr="002B3D6F">
        <w:rPr>
          <w:sz w:val="24"/>
        </w:rPr>
        <w:t xml:space="preserve"> změn</w:t>
      </w:r>
      <w:r>
        <w:rPr>
          <w:sz w:val="24"/>
        </w:rPr>
        <w:t>ě</w:t>
      </w:r>
      <w:r w:rsidRPr="002B3D6F">
        <w:rPr>
          <w:sz w:val="24"/>
        </w:rPr>
        <w:t xml:space="preserve"> RTS/ITS k reportingu investičních podniků</w:t>
      </w:r>
      <w:r>
        <w:rPr>
          <w:sz w:val="24"/>
        </w:rPr>
        <w:t xml:space="preserve"> a k oddělení </w:t>
      </w:r>
      <w:r w:rsidR="00597587">
        <w:rPr>
          <w:sz w:val="24"/>
        </w:rPr>
        <w:t xml:space="preserve">těchto </w:t>
      </w:r>
      <w:r>
        <w:rPr>
          <w:sz w:val="24"/>
        </w:rPr>
        <w:t>sdílených datových oblastí</w:t>
      </w:r>
      <w:r w:rsidR="00597587">
        <w:rPr>
          <w:sz w:val="24"/>
        </w:rPr>
        <w:t xml:space="preserve"> </w:t>
      </w:r>
      <w:r w:rsidR="00597587" w:rsidRPr="00597587">
        <w:rPr>
          <w:sz w:val="24"/>
        </w:rPr>
        <w:t>v rámcích EBA_COREP a EBA_IF</w:t>
      </w:r>
      <w:r>
        <w:rPr>
          <w:sz w:val="24"/>
        </w:rPr>
        <w:t xml:space="preserve">. </w:t>
      </w:r>
      <w:r w:rsidR="003656CF">
        <w:rPr>
          <w:sz w:val="24"/>
        </w:rPr>
        <w:t xml:space="preserve">Další postup lze sledovat na stránkách </w:t>
      </w:r>
      <w:r w:rsidR="003656CF" w:rsidRPr="003656CF">
        <w:rPr>
          <w:rFonts w:eastAsia="Calibri" w:cs="Times New Roman"/>
          <w:noProof/>
          <w:sz w:val="24"/>
          <w:szCs w:val="24"/>
        </w:rPr>
        <w:t>EBA</w:t>
      </w:r>
      <w:r w:rsidR="003656CF">
        <w:rPr>
          <w:rFonts w:eastAsia="Calibri" w:cs="Times New Roman"/>
          <w:noProof/>
          <w:sz w:val="24"/>
          <w:szCs w:val="24"/>
        </w:rPr>
        <w:t>:</w:t>
      </w:r>
      <w:r w:rsidR="003656CF" w:rsidRPr="003656CF">
        <w:rPr>
          <w:rFonts w:eastAsia="Calibri" w:cs="Times New Roman"/>
          <w:noProof/>
          <w:sz w:val="24"/>
          <w:szCs w:val="24"/>
        </w:rPr>
        <w:t xml:space="preserve"> Reporting </w:t>
      </w:r>
      <w:hyperlink r:id="rId10" w:history="1">
        <w:r w:rsidR="003656CF" w:rsidRPr="003656CF">
          <w:rPr>
            <w:rStyle w:val="Hypertextovodkaz"/>
            <w:rFonts w:eastAsia="Calibri" w:cs="Times New Roman"/>
            <w:noProof/>
            <w:sz w:val="24"/>
            <w:szCs w:val="24"/>
          </w:rPr>
          <w:t>Frameworks</w:t>
        </w:r>
      </w:hyperlink>
      <w:r w:rsidR="00BE4D37">
        <w:rPr>
          <w:rStyle w:val="Hypertextovodkaz"/>
          <w:rFonts w:eastAsia="Calibri" w:cs="Times New Roman"/>
          <w:noProof/>
          <w:sz w:val="24"/>
          <w:szCs w:val="24"/>
        </w:rPr>
        <w:t xml:space="preserve"> 4.0</w:t>
      </w:r>
      <w:r w:rsidR="003656CF">
        <w:rPr>
          <w:sz w:val="24"/>
        </w:rPr>
        <w:t xml:space="preserve">. </w:t>
      </w:r>
    </w:p>
    <w:p w14:paraId="71BA79AF" w14:textId="77777777" w:rsidR="004B683E" w:rsidRDefault="004B683E" w:rsidP="00661430">
      <w:pPr>
        <w:spacing w:before="120" w:after="120" w:line="320" w:lineRule="exact"/>
        <w:jc w:val="both"/>
        <w:rPr>
          <w:sz w:val="24"/>
          <w:szCs w:val="24"/>
        </w:rPr>
      </w:pPr>
    </w:p>
    <w:p w14:paraId="175BB538" w14:textId="67C1B906" w:rsidR="00B24151" w:rsidRPr="00935052" w:rsidRDefault="00EA3E5E" w:rsidP="00661430">
      <w:pPr>
        <w:pStyle w:val="Default"/>
        <w:numPr>
          <w:ilvl w:val="0"/>
          <w:numId w:val="2"/>
        </w:numPr>
        <w:spacing w:before="120" w:after="120" w:line="320" w:lineRule="exact"/>
        <w:ind w:left="426"/>
        <w:jc w:val="both"/>
        <w:rPr>
          <w:b/>
        </w:rPr>
      </w:pPr>
      <w:r w:rsidRPr="00B53AD7">
        <w:rPr>
          <w:rFonts w:asciiTheme="minorHAnsi" w:hAnsiTheme="minorHAnsi" w:cstheme="minorBidi"/>
          <w:b/>
          <w:color w:val="auto"/>
          <w:szCs w:val="22"/>
          <w:lang w:eastAsia="en-US"/>
        </w:rPr>
        <w:t xml:space="preserve">Nové výkazy </w:t>
      </w:r>
      <w:r w:rsidR="007F1D51" w:rsidRPr="00B53AD7">
        <w:rPr>
          <w:rFonts w:asciiTheme="minorHAnsi" w:hAnsiTheme="minorHAnsi" w:cstheme="minorBidi"/>
          <w:b/>
          <w:color w:val="auto"/>
          <w:szCs w:val="22"/>
          <w:lang w:eastAsia="en-US"/>
        </w:rPr>
        <w:t xml:space="preserve">a změny výkazů </w:t>
      </w:r>
      <w:r w:rsidRPr="00B53AD7">
        <w:rPr>
          <w:rFonts w:asciiTheme="minorHAnsi" w:hAnsiTheme="minorHAnsi" w:cstheme="minorBidi"/>
          <w:b/>
          <w:color w:val="auto"/>
          <w:szCs w:val="22"/>
          <w:lang w:eastAsia="en-US"/>
        </w:rPr>
        <w:t>pro investiční podniky třídy 1-</w:t>
      </w:r>
      <w:r w:rsidR="00B24151" w:rsidRPr="00B53AD7">
        <w:rPr>
          <w:rFonts w:asciiTheme="minorHAnsi" w:hAnsiTheme="minorHAnsi" w:cstheme="minorBidi"/>
          <w:b/>
          <w:color w:val="auto"/>
          <w:szCs w:val="22"/>
          <w:lang w:eastAsia="en-US"/>
        </w:rPr>
        <w:t xml:space="preserve"> podle CRD/IFD </w:t>
      </w:r>
      <w:r w:rsidR="00E43EB0" w:rsidRPr="00E43EB0">
        <w:rPr>
          <w:rFonts w:asciiTheme="minorHAnsi" w:hAnsiTheme="minorHAnsi" w:cstheme="minorBidi"/>
          <w:b/>
          <w:color w:val="0070C0"/>
          <w:szCs w:val="22"/>
          <w:lang w:eastAsia="en-US"/>
        </w:rPr>
        <w:t>beze změny</w:t>
      </w:r>
    </w:p>
    <w:p w14:paraId="0CA7DE92" w14:textId="6CDC21AD" w:rsidR="004B683E" w:rsidRDefault="004B683E" w:rsidP="00661430">
      <w:pPr>
        <w:pStyle w:val="Default"/>
        <w:spacing w:before="120" w:after="120" w:line="320" w:lineRule="exact"/>
        <w:ind w:left="66"/>
        <w:jc w:val="both"/>
        <w:rPr>
          <w:rFonts w:asciiTheme="minorHAnsi" w:hAnsiTheme="minorHAnsi" w:cstheme="minorBidi"/>
          <w:color w:val="auto"/>
          <w:szCs w:val="22"/>
          <w:lang w:eastAsia="en-US"/>
        </w:rPr>
      </w:pPr>
      <w:r w:rsidRPr="004B683E">
        <w:rPr>
          <w:rFonts w:asciiTheme="minorHAnsi" w:hAnsiTheme="minorHAnsi" w:cstheme="minorBidi"/>
          <w:color w:val="auto"/>
          <w:szCs w:val="22"/>
          <w:lang w:eastAsia="en-US"/>
        </w:rPr>
        <w:t xml:space="preserve">Další informace k metodikám EBA jsou publikovány i na webových stránkách EBA pod záložkou Risk </w:t>
      </w:r>
      <w:proofErr w:type="spellStart"/>
      <w:r w:rsidRPr="004B683E">
        <w:rPr>
          <w:rFonts w:asciiTheme="minorHAnsi" w:hAnsiTheme="minorHAnsi" w:cstheme="minorBidi"/>
          <w:color w:val="auto"/>
          <w:szCs w:val="22"/>
          <w:lang w:eastAsia="en-US"/>
        </w:rPr>
        <w:t>analysis</w:t>
      </w:r>
      <w:proofErr w:type="spellEnd"/>
      <w:r w:rsidRPr="004B683E">
        <w:rPr>
          <w:rFonts w:asciiTheme="minorHAnsi" w:hAnsiTheme="minorHAnsi" w:cstheme="minorBidi"/>
          <w:color w:val="auto"/>
          <w:szCs w:val="22"/>
          <w:lang w:eastAsia="en-US"/>
        </w:rPr>
        <w:t xml:space="preserve"> and data – EBA Reporting </w:t>
      </w:r>
      <w:hyperlink r:id="rId11" w:history="1">
        <w:r w:rsidRPr="004B683E">
          <w:rPr>
            <w:rStyle w:val="Hypertextovodkaz"/>
            <w:rFonts w:asciiTheme="minorHAnsi" w:eastAsia="Calibri" w:hAnsiTheme="minorHAnsi" w:cstheme="minorHAnsi"/>
            <w:noProof/>
          </w:rPr>
          <w:t>Frameworks</w:t>
        </w:r>
      </w:hyperlink>
      <w:r w:rsidRPr="004B683E">
        <w:rPr>
          <w:rFonts w:asciiTheme="minorHAnsi" w:hAnsiTheme="minorHAnsi" w:cstheme="minorBidi"/>
          <w:color w:val="auto"/>
          <w:szCs w:val="22"/>
          <w:lang w:eastAsia="en-US"/>
        </w:rPr>
        <w:t>.</w:t>
      </w:r>
    </w:p>
    <w:p w14:paraId="70CB82DA" w14:textId="77777777" w:rsidR="00B53AD7" w:rsidRPr="00B53AD7" w:rsidRDefault="00B53AD7" w:rsidP="00661430">
      <w:pPr>
        <w:pStyle w:val="Default"/>
        <w:spacing w:before="120" w:after="120" w:line="320" w:lineRule="exact"/>
        <w:ind w:left="66"/>
        <w:jc w:val="both"/>
        <w:rPr>
          <w:b/>
        </w:rPr>
      </w:pPr>
    </w:p>
    <w:p w14:paraId="020496BC" w14:textId="105028C9" w:rsidR="00B53AD7" w:rsidRPr="00935052" w:rsidRDefault="00B53AD7" w:rsidP="001E0C33">
      <w:pPr>
        <w:spacing w:before="120" w:after="120"/>
        <w:ind w:left="66"/>
        <w:jc w:val="both"/>
        <w:rPr>
          <w:b/>
          <w:sz w:val="24"/>
        </w:rPr>
      </w:pPr>
      <w:r w:rsidRPr="00935052">
        <w:rPr>
          <w:b/>
          <w:sz w:val="24"/>
        </w:rPr>
        <w:t>IRRBB, novela ITS o dohledovém výkaznictví (EU) 2021</w:t>
      </w:r>
      <w:r w:rsidR="00BE4D37">
        <w:rPr>
          <w:b/>
          <w:sz w:val="24"/>
        </w:rPr>
        <w:t>/</w:t>
      </w:r>
      <w:r w:rsidR="00BE4D37" w:rsidRPr="00935052">
        <w:rPr>
          <w:b/>
          <w:sz w:val="24"/>
        </w:rPr>
        <w:t>451</w:t>
      </w:r>
      <w:r w:rsidR="00E43EB0">
        <w:rPr>
          <w:b/>
          <w:sz w:val="24"/>
        </w:rPr>
        <w:t xml:space="preserve"> </w:t>
      </w:r>
      <w:r w:rsidR="00E43EB0" w:rsidRPr="00E43EB0">
        <w:rPr>
          <w:b/>
          <w:color w:val="0070C0"/>
          <w:sz w:val="24"/>
        </w:rPr>
        <w:t>beze změny</w:t>
      </w:r>
    </w:p>
    <w:p w14:paraId="4D3FD3F0" w14:textId="690F5652" w:rsidR="00501FA0" w:rsidRPr="009563C7" w:rsidRDefault="00C01A07" w:rsidP="007756FB">
      <w:pPr>
        <w:spacing w:before="120" w:after="120"/>
        <w:ind w:left="66"/>
        <w:jc w:val="both"/>
        <w:rPr>
          <w:sz w:val="24"/>
        </w:rPr>
      </w:pPr>
      <w:r w:rsidRPr="00C01A07">
        <w:rPr>
          <w:sz w:val="24"/>
        </w:rPr>
        <w:t>V návaznosti na zavedení nového harmonizovaného evropského rámce v oblasti úrokového rizika</w:t>
      </w:r>
      <w:r>
        <w:rPr>
          <w:sz w:val="24"/>
        </w:rPr>
        <w:t xml:space="preserve"> </w:t>
      </w:r>
      <w:r w:rsidRPr="00C01A07">
        <w:rPr>
          <w:sz w:val="24"/>
        </w:rPr>
        <w:t>(IRRBB)</w:t>
      </w:r>
      <w:r>
        <w:rPr>
          <w:sz w:val="24"/>
        </w:rPr>
        <w:t>,</w:t>
      </w:r>
      <w:r w:rsidRPr="00C01A07">
        <w:rPr>
          <w:sz w:val="24"/>
        </w:rPr>
        <w:t xml:space="preserve"> </w:t>
      </w:r>
      <w:r>
        <w:rPr>
          <w:sz w:val="24"/>
        </w:rPr>
        <w:t>n</w:t>
      </w:r>
      <w:r w:rsidR="00EA3E5E" w:rsidRPr="00935052">
        <w:rPr>
          <w:sz w:val="24"/>
        </w:rPr>
        <w:t>ovel</w:t>
      </w:r>
      <w:r>
        <w:rPr>
          <w:sz w:val="24"/>
        </w:rPr>
        <w:t>a</w:t>
      </w:r>
      <w:r w:rsidR="00EA3E5E" w:rsidRPr="00935052">
        <w:rPr>
          <w:sz w:val="24"/>
        </w:rPr>
        <w:t xml:space="preserve"> ITS o dohledovém výkaznictví </w:t>
      </w:r>
      <w:hyperlink r:id="rId12" w:history="1">
        <w:r w:rsidR="00EA3E5E" w:rsidRPr="00BE4D37">
          <w:rPr>
            <w:rStyle w:val="Hypertextovodkaz"/>
            <w:sz w:val="24"/>
          </w:rPr>
          <w:t>(EU) 2021</w:t>
        </w:r>
        <w:r w:rsidR="00BE4D37" w:rsidRPr="00BE4D37">
          <w:rPr>
            <w:rStyle w:val="Hypertextovodkaz"/>
            <w:sz w:val="24"/>
          </w:rPr>
          <w:t>/451</w:t>
        </w:r>
      </w:hyperlink>
      <w:r>
        <w:rPr>
          <w:sz w:val="24"/>
        </w:rPr>
        <w:t>,</w:t>
      </w:r>
      <w:r w:rsidR="00EA3E5E" w:rsidRPr="00C01A07">
        <w:rPr>
          <w:sz w:val="24"/>
        </w:rPr>
        <w:t xml:space="preserve"> </w:t>
      </w:r>
      <w:r w:rsidR="00E43EB0">
        <w:rPr>
          <w:sz w:val="24"/>
        </w:rPr>
        <w:t>byla</w:t>
      </w:r>
      <w:r w:rsidRPr="00C01A07">
        <w:t xml:space="preserve"> </w:t>
      </w:r>
      <w:r w:rsidRPr="00C01A07">
        <w:rPr>
          <w:sz w:val="24"/>
        </w:rPr>
        <w:t>investičním podnikům třídy 1-</w:t>
      </w:r>
      <w:r>
        <w:rPr>
          <w:sz w:val="24"/>
        </w:rPr>
        <w:t xml:space="preserve"> nastavena </w:t>
      </w:r>
      <w:r w:rsidR="00EA3E5E" w:rsidRPr="00C01A07">
        <w:rPr>
          <w:sz w:val="24"/>
        </w:rPr>
        <w:t xml:space="preserve">vykazovací povinnost. </w:t>
      </w:r>
      <w:r>
        <w:rPr>
          <w:sz w:val="24"/>
          <w:szCs w:val="24"/>
        </w:rPr>
        <w:t xml:space="preserve">První referenční datum pro nový evropský výkaz IRRBB je </w:t>
      </w:r>
      <w:r w:rsidR="00EA528B">
        <w:rPr>
          <w:sz w:val="24"/>
          <w:szCs w:val="24"/>
        </w:rPr>
        <w:t>30. 9. 2024</w:t>
      </w:r>
      <w:r w:rsidR="0006230D">
        <w:rPr>
          <w:sz w:val="24"/>
        </w:rPr>
        <w:t xml:space="preserve"> (</w:t>
      </w:r>
      <w:r w:rsidR="00172D47">
        <w:rPr>
          <w:sz w:val="24"/>
        </w:rPr>
        <w:t xml:space="preserve">EBA </w:t>
      </w:r>
      <w:r w:rsidR="0006230D">
        <w:rPr>
          <w:sz w:val="24"/>
        </w:rPr>
        <w:t>Framework 3.4)</w:t>
      </w:r>
      <w:r w:rsidR="00172D47">
        <w:rPr>
          <w:sz w:val="24"/>
        </w:rPr>
        <w:t>.</w:t>
      </w:r>
    </w:p>
    <w:p w14:paraId="4FAAF535" w14:textId="77777777" w:rsidR="00361F8B" w:rsidRPr="00361F8B" w:rsidRDefault="00361F8B" w:rsidP="00661430">
      <w:pPr>
        <w:pStyle w:val="Odstavecseseznamem"/>
        <w:spacing w:before="120" w:after="120"/>
        <w:jc w:val="both"/>
        <w:rPr>
          <w:sz w:val="24"/>
        </w:rPr>
      </w:pPr>
    </w:p>
    <w:p w14:paraId="333A5ECF" w14:textId="251B43F6" w:rsidR="00B53AD7" w:rsidRPr="00211A2F" w:rsidRDefault="00B53AD7" w:rsidP="00661430">
      <w:pPr>
        <w:keepNext/>
        <w:spacing w:before="120" w:after="120"/>
        <w:ind w:left="68"/>
        <w:jc w:val="both"/>
        <w:rPr>
          <w:b/>
          <w:sz w:val="24"/>
        </w:rPr>
      </w:pPr>
      <w:r w:rsidRPr="00211A2F">
        <w:rPr>
          <w:b/>
          <w:sz w:val="24"/>
        </w:rPr>
        <w:t>FRTB</w:t>
      </w:r>
      <w:r w:rsidR="00795342">
        <w:rPr>
          <w:b/>
          <w:sz w:val="24"/>
        </w:rPr>
        <w:t>,</w:t>
      </w:r>
      <w:r w:rsidR="00EA528B">
        <w:rPr>
          <w:b/>
          <w:sz w:val="24"/>
        </w:rPr>
        <w:t xml:space="preserve"> novela ITS</w:t>
      </w:r>
      <w:r w:rsidR="00E43EB0">
        <w:rPr>
          <w:b/>
          <w:sz w:val="24"/>
        </w:rPr>
        <w:t xml:space="preserve"> </w:t>
      </w:r>
      <w:r w:rsidR="00E43EB0" w:rsidRPr="00E43EB0">
        <w:rPr>
          <w:b/>
          <w:color w:val="0070C0"/>
          <w:sz w:val="24"/>
        </w:rPr>
        <w:t>beze změny</w:t>
      </w:r>
    </w:p>
    <w:p w14:paraId="096D6E7B" w14:textId="6125541C" w:rsidR="00E85E6F" w:rsidRPr="00211A2F" w:rsidRDefault="002B3D6F" w:rsidP="00661430">
      <w:pPr>
        <w:keepNext/>
        <w:spacing w:before="120" w:after="120"/>
        <w:ind w:left="68"/>
        <w:jc w:val="both"/>
        <w:rPr>
          <w:sz w:val="24"/>
        </w:rPr>
      </w:pPr>
      <w:r w:rsidRPr="00211A2F">
        <w:rPr>
          <w:sz w:val="24"/>
        </w:rPr>
        <w:t>Dále bude pro inve</w:t>
      </w:r>
      <w:r w:rsidR="00361F8B" w:rsidRPr="00211A2F">
        <w:rPr>
          <w:sz w:val="24"/>
        </w:rPr>
        <w:t>s</w:t>
      </w:r>
      <w:r w:rsidRPr="00211A2F">
        <w:rPr>
          <w:sz w:val="24"/>
        </w:rPr>
        <w:t xml:space="preserve">tiční podniky třídy 1- </w:t>
      </w:r>
      <w:r w:rsidR="009563C7">
        <w:rPr>
          <w:sz w:val="24"/>
        </w:rPr>
        <w:t xml:space="preserve">značně rozšířen </w:t>
      </w:r>
      <w:r w:rsidRPr="00211A2F">
        <w:rPr>
          <w:sz w:val="24"/>
        </w:rPr>
        <w:t xml:space="preserve"> </w:t>
      </w:r>
      <w:r w:rsidR="00E85E6F" w:rsidRPr="00211A2F">
        <w:rPr>
          <w:sz w:val="24"/>
        </w:rPr>
        <w:t>FRTB reporting</w:t>
      </w:r>
      <w:r w:rsidR="00B53AD7" w:rsidRPr="00211A2F">
        <w:rPr>
          <w:sz w:val="24"/>
        </w:rPr>
        <w:t>. I</w:t>
      </w:r>
      <w:r w:rsidR="00E85E6F" w:rsidRPr="00211A2F">
        <w:rPr>
          <w:sz w:val="24"/>
        </w:rPr>
        <w:t xml:space="preserve">mplementace novely ITS </w:t>
      </w:r>
      <w:r w:rsidR="00597587" w:rsidRPr="00EF52D2">
        <w:rPr>
          <w:sz w:val="24"/>
        </w:rPr>
        <w:t>EBA/ITS/2024/02</w:t>
      </w:r>
      <w:r w:rsidR="00597587">
        <w:rPr>
          <w:sz w:val="24"/>
        </w:rPr>
        <w:t xml:space="preserve"> </w:t>
      </w:r>
      <w:r w:rsidR="00E85E6F" w:rsidRPr="00211A2F">
        <w:rPr>
          <w:sz w:val="24"/>
        </w:rPr>
        <w:t>má vést k plnému vykazování kapitálových požadavků a současně již zohledňuje některé návrhy CRR3. P</w:t>
      </w:r>
      <w:r w:rsidR="00935052">
        <w:rPr>
          <w:sz w:val="24"/>
        </w:rPr>
        <w:t>řepokládaný p</w:t>
      </w:r>
      <w:r w:rsidR="00E85E6F" w:rsidRPr="00211A2F">
        <w:rPr>
          <w:sz w:val="24"/>
        </w:rPr>
        <w:t>rvní</w:t>
      </w:r>
      <w:r w:rsidR="00180FD2" w:rsidRPr="00211A2F">
        <w:rPr>
          <w:sz w:val="24"/>
        </w:rPr>
        <w:t xml:space="preserve"> sběr dat proběhne</w:t>
      </w:r>
      <w:r w:rsidR="00E85E6F" w:rsidRPr="00211A2F">
        <w:rPr>
          <w:sz w:val="24"/>
        </w:rPr>
        <w:t xml:space="preserve"> 31. </w:t>
      </w:r>
      <w:r w:rsidR="00B53AD7" w:rsidRPr="00211A2F">
        <w:rPr>
          <w:sz w:val="24"/>
        </w:rPr>
        <w:t>března</w:t>
      </w:r>
      <w:r w:rsidR="00E85E6F" w:rsidRPr="00211A2F">
        <w:rPr>
          <w:sz w:val="24"/>
        </w:rPr>
        <w:t xml:space="preserve"> 202</w:t>
      </w:r>
      <w:r w:rsidRPr="00211A2F">
        <w:rPr>
          <w:sz w:val="24"/>
        </w:rPr>
        <w:t>5</w:t>
      </w:r>
      <w:r w:rsidR="003A5FE8">
        <w:rPr>
          <w:sz w:val="24"/>
        </w:rPr>
        <w:t xml:space="preserve"> (EBA </w:t>
      </w:r>
      <w:proofErr w:type="spellStart"/>
      <w:r w:rsidR="003A5FE8">
        <w:rPr>
          <w:sz w:val="24"/>
        </w:rPr>
        <w:t>Framewok</w:t>
      </w:r>
      <w:proofErr w:type="spellEnd"/>
      <w:r w:rsidR="003A5FE8">
        <w:rPr>
          <w:sz w:val="24"/>
        </w:rPr>
        <w:t xml:space="preserve"> 4.0)</w:t>
      </w:r>
      <w:r w:rsidR="00E85E6F" w:rsidRPr="00211A2F">
        <w:rPr>
          <w:sz w:val="24"/>
        </w:rPr>
        <w:t>.</w:t>
      </w:r>
    </w:p>
    <w:p w14:paraId="1F641785" w14:textId="5BDFF3D7" w:rsidR="00361F8B" w:rsidRDefault="00361F8B" w:rsidP="001E0C33">
      <w:pPr>
        <w:pStyle w:val="Odstavecseseznamem"/>
        <w:ind w:left="426"/>
        <w:jc w:val="both"/>
        <w:rPr>
          <w:sz w:val="24"/>
        </w:rPr>
      </w:pPr>
    </w:p>
    <w:p w14:paraId="399A5ABE" w14:textId="2031012D" w:rsidR="00795342" w:rsidRPr="00211A2F" w:rsidRDefault="00795342" w:rsidP="001E0C33">
      <w:pPr>
        <w:pStyle w:val="Odstavecseseznamem"/>
        <w:ind w:left="66"/>
        <w:jc w:val="both"/>
        <w:rPr>
          <w:b/>
          <w:sz w:val="24"/>
        </w:rPr>
      </w:pPr>
      <w:r w:rsidRPr="00211A2F">
        <w:rPr>
          <w:b/>
          <w:sz w:val="24"/>
        </w:rPr>
        <w:t>Změny vyplývající z CRR3/CRD6</w:t>
      </w:r>
      <w:r w:rsidR="00E43EB0">
        <w:rPr>
          <w:b/>
          <w:sz w:val="24"/>
        </w:rPr>
        <w:t xml:space="preserve"> </w:t>
      </w:r>
      <w:r w:rsidR="00E43EB0" w:rsidRPr="00E43EB0">
        <w:rPr>
          <w:b/>
          <w:color w:val="0070C0"/>
          <w:sz w:val="24"/>
        </w:rPr>
        <w:t>beze změny</w:t>
      </w:r>
    </w:p>
    <w:p w14:paraId="651B50D3" w14:textId="33E05C88" w:rsidR="004B683E" w:rsidRPr="003A5FE8" w:rsidRDefault="00172D47" w:rsidP="007756FB">
      <w:pPr>
        <w:spacing w:before="120" w:after="120"/>
        <w:ind w:left="66"/>
        <w:jc w:val="both"/>
        <w:rPr>
          <w:sz w:val="24"/>
        </w:rPr>
      </w:pPr>
      <w:r>
        <w:rPr>
          <w:rFonts w:cstheme="minorHAnsi"/>
          <w:sz w:val="24"/>
        </w:rPr>
        <w:t>N</w:t>
      </w:r>
      <w:r w:rsidR="005173E9" w:rsidRPr="003A5FE8">
        <w:rPr>
          <w:rFonts w:cstheme="minorHAnsi"/>
          <w:sz w:val="24"/>
        </w:rPr>
        <w:t xml:space="preserve">a začátku roku 2025 se projeví první fáze </w:t>
      </w:r>
      <w:r w:rsidR="00361F8B" w:rsidRPr="003A5FE8">
        <w:rPr>
          <w:rFonts w:cstheme="minorHAnsi"/>
          <w:sz w:val="24"/>
        </w:rPr>
        <w:t>významných změn plynoucích z novely CRR3/CRD6</w:t>
      </w:r>
      <w:r w:rsidR="00F706AA" w:rsidRPr="003A5FE8">
        <w:rPr>
          <w:rFonts w:cstheme="minorHAnsi"/>
          <w:sz w:val="24"/>
        </w:rPr>
        <w:t>, které mají dopad i na</w:t>
      </w:r>
      <w:r w:rsidR="003D4A54" w:rsidRPr="003A5FE8">
        <w:rPr>
          <w:rFonts w:cstheme="minorHAnsi"/>
          <w:sz w:val="24"/>
        </w:rPr>
        <w:t xml:space="preserve"> investiční podniky třídy 1-</w:t>
      </w:r>
      <w:r w:rsidR="005173E9" w:rsidRPr="003A5FE8">
        <w:rPr>
          <w:rFonts w:cstheme="minorHAnsi"/>
          <w:sz w:val="24"/>
        </w:rPr>
        <w:t xml:space="preserve"> </w:t>
      </w:r>
      <w:r w:rsidR="00361F8B" w:rsidRPr="003A5FE8">
        <w:rPr>
          <w:rFonts w:cstheme="minorHAnsi"/>
          <w:sz w:val="24"/>
        </w:rPr>
        <w:t xml:space="preserve">(Output </w:t>
      </w:r>
      <w:proofErr w:type="spellStart"/>
      <w:r w:rsidR="00361F8B" w:rsidRPr="003A5FE8">
        <w:rPr>
          <w:rFonts w:cstheme="minorHAnsi"/>
          <w:sz w:val="24"/>
        </w:rPr>
        <w:t>floor</w:t>
      </w:r>
      <w:proofErr w:type="spellEnd"/>
      <w:r w:rsidR="00361F8B" w:rsidRPr="003A5FE8">
        <w:rPr>
          <w:rFonts w:cstheme="minorHAnsi"/>
          <w:sz w:val="24"/>
        </w:rPr>
        <w:t xml:space="preserve">, </w:t>
      </w:r>
      <w:proofErr w:type="spellStart"/>
      <w:r w:rsidR="00361F8B" w:rsidRPr="003A5FE8">
        <w:rPr>
          <w:rFonts w:cstheme="minorHAnsi"/>
          <w:sz w:val="24"/>
        </w:rPr>
        <w:t>Credit</w:t>
      </w:r>
      <w:proofErr w:type="spellEnd"/>
      <w:r w:rsidR="00361F8B" w:rsidRPr="003A5FE8">
        <w:rPr>
          <w:rFonts w:cstheme="minorHAnsi"/>
          <w:sz w:val="24"/>
        </w:rPr>
        <w:t xml:space="preserve"> risk SA, IRB, IP </w:t>
      </w:r>
      <w:proofErr w:type="spellStart"/>
      <w:r w:rsidR="00361F8B" w:rsidRPr="003A5FE8">
        <w:rPr>
          <w:rFonts w:cstheme="minorHAnsi"/>
          <w:sz w:val="24"/>
        </w:rPr>
        <w:t>Losses</w:t>
      </w:r>
      <w:proofErr w:type="spellEnd"/>
      <w:r w:rsidR="00361F8B" w:rsidRPr="003A5FE8">
        <w:rPr>
          <w:rFonts w:cstheme="minorHAnsi"/>
          <w:sz w:val="24"/>
        </w:rPr>
        <w:t xml:space="preserve">, Market risk, </w:t>
      </w:r>
      <w:proofErr w:type="spellStart"/>
      <w:r w:rsidR="00361F8B" w:rsidRPr="003A5FE8">
        <w:rPr>
          <w:rFonts w:cstheme="minorHAnsi"/>
          <w:sz w:val="24"/>
        </w:rPr>
        <w:t>Leverage</w:t>
      </w:r>
      <w:proofErr w:type="spellEnd"/>
      <w:r w:rsidR="00361F8B" w:rsidRPr="003A5FE8">
        <w:rPr>
          <w:rFonts w:cstheme="minorHAnsi"/>
          <w:sz w:val="24"/>
        </w:rPr>
        <w:t xml:space="preserve"> ratio, </w:t>
      </w:r>
      <w:proofErr w:type="spellStart"/>
      <w:r w:rsidR="00361F8B" w:rsidRPr="003A5FE8">
        <w:rPr>
          <w:rFonts w:cstheme="minorHAnsi"/>
          <w:sz w:val="24"/>
        </w:rPr>
        <w:t>Operational</w:t>
      </w:r>
      <w:proofErr w:type="spellEnd"/>
      <w:r w:rsidR="00361F8B" w:rsidRPr="003A5FE8">
        <w:rPr>
          <w:rFonts w:cstheme="minorHAnsi"/>
          <w:sz w:val="24"/>
        </w:rPr>
        <w:t xml:space="preserve"> risk)</w:t>
      </w:r>
      <w:r w:rsidR="004B683E" w:rsidRPr="003A5FE8">
        <w:rPr>
          <w:rFonts w:cstheme="minorHAnsi"/>
          <w:sz w:val="24"/>
        </w:rPr>
        <w:t xml:space="preserve">.  </w:t>
      </w:r>
      <w:r w:rsidR="003A5FE8" w:rsidRPr="00211A2F">
        <w:rPr>
          <w:sz w:val="24"/>
        </w:rPr>
        <w:t>P</w:t>
      </w:r>
      <w:r w:rsidR="003A5FE8">
        <w:rPr>
          <w:sz w:val="24"/>
        </w:rPr>
        <w:t>řepokládaný p</w:t>
      </w:r>
      <w:r w:rsidR="003A5FE8" w:rsidRPr="00211A2F">
        <w:rPr>
          <w:sz w:val="24"/>
        </w:rPr>
        <w:t>rvní sběr dat proběhne 31</w:t>
      </w:r>
      <w:r w:rsidRPr="00211A2F">
        <w:rPr>
          <w:sz w:val="24"/>
        </w:rPr>
        <w:t>.</w:t>
      </w:r>
      <w:r>
        <w:rPr>
          <w:sz w:val="24"/>
        </w:rPr>
        <w:t> </w:t>
      </w:r>
      <w:r w:rsidRPr="00211A2F">
        <w:rPr>
          <w:sz w:val="24"/>
        </w:rPr>
        <w:t>března</w:t>
      </w:r>
      <w:r>
        <w:rPr>
          <w:sz w:val="24"/>
        </w:rPr>
        <w:t> </w:t>
      </w:r>
      <w:r w:rsidR="003A5FE8" w:rsidRPr="00211A2F">
        <w:rPr>
          <w:sz w:val="24"/>
        </w:rPr>
        <w:t>2025</w:t>
      </w:r>
      <w:r w:rsidR="003A5FE8">
        <w:rPr>
          <w:sz w:val="24"/>
        </w:rPr>
        <w:t xml:space="preserve"> (EBA </w:t>
      </w:r>
      <w:proofErr w:type="spellStart"/>
      <w:r w:rsidR="003A5FE8">
        <w:rPr>
          <w:sz w:val="24"/>
        </w:rPr>
        <w:t>Framewok</w:t>
      </w:r>
      <w:proofErr w:type="spellEnd"/>
      <w:r w:rsidR="003A5FE8">
        <w:rPr>
          <w:sz w:val="24"/>
        </w:rPr>
        <w:t xml:space="preserve"> 4.0)</w:t>
      </w:r>
      <w:r w:rsidR="003A5FE8" w:rsidRPr="00211A2F">
        <w:rPr>
          <w:sz w:val="24"/>
        </w:rPr>
        <w:t>.</w:t>
      </w:r>
    </w:p>
    <w:p w14:paraId="24B27E2C" w14:textId="77777777" w:rsidR="00501FA0" w:rsidRDefault="00501FA0" w:rsidP="00661430">
      <w:pPr>
        <w:spacing w:before="120" w:after="120" w:line="320" w:lineRule="exact"/>
        <w:jc w:val="both"/>
        <w:rPr>
          <w:b/>
          <w:sz w:val="24"/>
        </w:rPr>
      </w:pPr>
    </w:p>
    <w:p w14:paraId="571066CE" w14:textId="77777777" w:rsidR="00721B6E" w:rsidRPr="002252D3" w:rsidRDefault="00721B6E" w:rsidP="00661430">
      <w:pPr>
        <w:spacing w:after="0" w:line="320" w:lineRule="exact"/>
        <w:jc w:val="both"/>
        <w:rPr>
          <w:sz w:val="26"/>
          <w:szCs w:val="26"/>
        </w:rPr>
      </w:pPr>
    </w:p>
    <w:p w14:paraId="78D50562" w14:textId="04BEF255" w:rsidR="00200446" w:rsidRDefault="00200446" w:rsidP="00EC0AC9">
      <w:pPr>
        <w:pStyle w:val="Odstavecseseznamem"/>
        <w:numPr>
          <w:ilvl w:val="0"/>
          <w:numId w:val="2"/>
        </w:numPr>
        <w:spacing w:before="120" w:after="120" w:line="320" w:lineRule="exact"/>
        <w:jc w:val="both"/>
        <w:rPr>
          <w:b/>
          <w:sz w:val="24"/>
        </w:rPr>
      </w:pPr>
      <w:r>
        <w:rPr>
          <w:b/>
          <w:sz w:val="24"/>
        </w:rPr>
        <w:t>Úprava výkazu DOCOS48</w:t>
      </w:r>
      <w:r w:rsidR="002D345A">
        <w:rPr>
          <w:b/>
          <w:sz w:val="24"/>
        </w:rPr>
        <w:t xml:space="preserve"> </w:t>
      </w:r>
      <w:r w:rsidR="002D345A" w:rsidRPr="002D345A">
        <w:rPr>
          <w:b/>
          <w:color w:val="0070C0"/>
          <w:sz w:val="24"/>
        </w:rPr>
        <w:t>doplnění</w:t>
      </w:r>
    </w:p>
    <w:p w14:paraId="26241266" w14:textId="71EAC2A9" w:rsidR="008E63A2" w:rsidRDefault="00200446" w:rsidP="00661430">
      <w:pPr>
        <w:jc w:val="both"/>
        <w:rPr>
          <w:sz w:val="24"/>
          <w:szCs w:val="24"/>
        </w:rPr>
      </w:pPr>
      <w:r>
        <w:rPr>
          <w:sz w:val="24"/>
          <w:szCs w:val="24"/>
        </w:rPr>
        <w:t>Výkaz</w:t>
      </w:r>
      <w:r>
        <w:t xml:space="preserve"> </w:t>
      </w:r>
      <w:r w:rsidR="00E44F19">
        <w:t xml:space="preserve">DOCOS48 </w:t>
      </w:r>
      <w:r w:rsidRPr="00200446">
        <w:rPr>
          <w:sz w:val="24"/>
          <w:szCs w:val="24"/>
        </w:rPr>
        <w:t xml:space="preserve">OCP (ČNB)  48-04 </w:t>
      </w:r>
      <w:r>
        <w:rPr>
          <w:sz w:val="24"/>
          <w:szCs w:val="24"/>
        </w:rPr>
        <w:t>„</w:t>
      </w:r>
      <w:r w:rsidRPr="00200446">
        <w:rPr>
          <w:sz w:val="24"/>
          <w:szCs w:val="24"/>
        </w:rPr>
        <w:t>Organizační struktura a osoby s kvalifikovanou účastí</w:t>
      </w:r>
      <w:r>
        <w:rPr>
          <w:sz w:val="24"/>
          <w:szCs w:val="24"/>
        </w:rPr>
        <w:t>“</w:t>
      </w:r>
      <w:r w:rsidR="00EC0AC9">
        <w:rPr>
          <w:sz w:val="24"/>
          <w:szCs w:val="24"/>
        </w:rPr>
        <w:t xml:space="preserve"> byl</w:t>
      </w:r>
      <w:r>
        <w:rPr>
          <w:sz w:val="24"/>
          <w:szCs w:val="24"/>
        </w:rPr>
        <w:t xml:space="preserve"> v</w:t>
      </w:r>
      <w:r w:rsidR="00EC0CDE">
        <w:rPr>
          <w:sz w:val="24"/>
          <w:szCs w:val="24"/>
        </w:rPr>
        <w:t> metodice KT20250101</w:t>
      </w:r>
      <w:r>
        <w:rPr>
          <w:sz w:val="24"/>
          <w:szCs w:val="24"/>
        </w:rPr>
        <w:t xml:space="preserve"> upraven</w:t>
      </w:r>
      <w:r w:rsidR="00172D47">
        <w:rPr>
          <w:sz w:val="24"/>
          <w:szCs w:val="24"/>
        </w:rPr>
        <w:t xml:space="preserve"> následovně</w:t>
      </w:r>
      <w:r w:rsidR="008E63A2">
        <w:rPr>
          <w:sz w:val="24"/>
          <w:szCs w:val="24"/>
        </w:rPr>
        <w:t xml:space="preserve">:  </w:t>
      </w:r>
    </w:p>
    <w:p w14:paraId="29526944" w14:textId="77777777" w:rsidR="00EC0CDE" w:rsidRDefault="00EC0CDE" w:rsidP="00661430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8E63A2">
        <w:rPr>
          <w:sz w:val="24"/>
          <w:szCs w:val="24"/>
        </w:rPr>
        <w:t xml:space="preserve">Zrušení polí s faxovým </w:t>
      </w:r>
      <w:r>
        <w:rPr>
          <w:sz w:val="24"/>
          <w:szCs w:val="24"/>
        </w:rPr>
        <w:t>číslem (DIS60_01, DIS60_06, DIS60_07, DIS60_13, DIS60_14).</w:t>
      </w:r>
    </w:p>
    <w:p w14:paraId="599D1D69" w14:textId="43680546" w:rsidR="00EC0CDE" w:rsidRPr="00B15B5B" w:rsidRDefault="00EC0CDE" w:rsidP="00B15B5B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Změna datového typu s telefonním číslem (DIS60_13, DIS60,14, DIS60_06, DIS60_07, DIS60_13, DIS60_14)</w:t>
      </w:r>
      <w:r w:rsidR="00B15B5B">
        <w:rPr>
          <w:sz w:val="24"/>
          <w:szCs w:val="24"/>
        </w:rPr>
        <w:t xml:space="preserve"> </w:t>
      </w:r>
      <w:r w:rsidR="00B15B5B" w:rsidRPr="00EC0AC9">
        <w:rPr>
          <w:color w:val="0070C0"/>
        </w:rPr>
        <w:t xml:space="preserve">na </w:t>
      </w:r>
      <w:r w:rsidR="00B15B5B" w:rsidRPr="00EC0AC9">
        <w:rPr>
          <w:color w:val="0070C0"/>
          <w:sz w:val="24"/>
          <w:szCs w:val="24"/>
        </w:rPr>
        <w:t>„an_26“ regulární výraz pro tel. číslo \+[\d]{6,15}.</w:t>
      </w:r>
    </w:p>
    <w:p w14:paraId="7B7E1876" w14:textId="24A9E97A" w:rsidR="00EC0CDE" w:rsidRDefault="00EC0CDE" w:rsidP="00661430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Tituly se </w:t>
      </w:r>
      <w:r w:rsidR="00EC0AC9">
        <w:rPr>
          <w:sz w:val="24"/>
          <w:szCs w:val="24"/>
        </w:rPr>
        <w:t xml:space="preserve">staly </w:t>
      </w:r>
      <w:r>
        <w:rPr>
          <w:sz w:val="24"/>
          <w:szCs w:val="24"/>
        </w:rPr>
        <w:t>nepovinnými poli (DIS60_13, DIS60_14,</w:t>
      </w:r>
      <w:r w:rsidRPr="0069719D">
        <w:rPr>
          <w:sz w:val="24"/>
          <w:szCs w:val="24"/>
        </w:rPr>
        <w:t xml:space="preserve"> </w:t>
      </w:r>
      <w:r>
        <w:rPr>
          <w:sz w:val="24"/>
          <w:szCs w:val="24"/>
        </w:rPr>
        <w:t>DIS60_43</w:t>
      </w:r>
      <w:r w:rsidR="00172D47">
        <w:rPr>
          <w:sz w:val="24"/>
          <w:szCs w:val="24"/>
        </w:rPr>
        <w:t>)</w:t>
      </w:r>
      <w:r>
        <w:rPr>
          <w:sz w:val="24"/>
          <w:szCs w:val="24"/>
        </w:rPr>
        <w:t xml:space="preserve"> a zároveň </w:t>
      </w:r>
      <w:r w:rsidR="00EC0AC9">
        <w:rPr>
          <w:sz w:val="24"/>
          <w:szCs w:val="24"/>
        </w:rPr>
        <w:t xml:space="preserve">došlo </w:t>
      </w:r>
      <w:r>
        <w:rPr>
          <w:sz w:val="24"/>
          <w:szCs w:val="24"/>
        </w:rPr>
        <w:t>ke změně z parametru na ukazatel</w:t>
      </w:r>
      <w:r w:rsidR="00172D47">
        <w:rPr>
          <w:sz w:val="24"/>
          <w:szCs w:val="24"/>
        </w:rPr>
        <w:t>.</w:t>
      </w:r>
      <w:r w:rsidR="005C4B29">
        <w:rPr>
          <w:sz w:val="24"/>
          <w:szCs w:val="24"/>
        </w:rPr>
        <w:t xml:space="preserve"> </w:t>
      </w:r>
      <w:r w:rsidR="005C4B29" w:rsidRPr="00EC0AC9">
        <w:rPr>
          <w:color w:val="0070C0"/>
          <w:sz w:val="24"/>
          <w:szCs w:val="24"/>
        </w:rPr>
        <w:t>Dále bylo upraveno pořadí polí v DO.</w:t>
      </w:r>
    </w:p>
    <w:p w14:paraId="2F7D6679" w14:textId="256EA06C" w:rsidR="00EC0CDE" w:rsidRPr="008E63A2" w:rsidRDefault="00EC0CDE" w:rsidP="00661430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DIS60_01 </w:t>
      </w:r>
      <w:r w:rsidR="00EC0AC9">
        <w:rPr>
          <w:sz w:val="24"/>
          <w:szCs w:val="24"/>
        </w:rPr>
        <w:t xml:space="preserve">došlo </w:t>
      </w:r>
      <w:r>
        <w:rPr>
          <w:sz w:val="24"/>
          <w:szCs w:val="24"/>
        </w:rPr>
        <w:t>k přejmenování ukazatele EVD0121 z</w:t>
      </w:r>
      <w:r w:rsidRPr="0069719D">
        <w:rPr>
          <w:sz w:val="24"/>
          <w:szCs w:val="24"/>
        </w:rPr>
        <w:t xml:space="preserve"> IČ vykazující osoby </w:t>
      </w:r>
      <w:r>
        <w:rPr>
          <w:sz w:val="24"/>
          <w:szCs w:val="24"/>
        </w:rPr>
        <w:t xml:space="preserve">na </w:t>
      </w:r>
      <w:r w:rsidRPr="0069719D">
        <w:rPr>
          <w:sz w:val="24"/>
          <w:szCs w:val="24"/>
        </w:rPr>
        <w:t>Identifikační číslo vykazující osoby</w:t>
      </w:r>
      <w:r>
        <w:rPr>
          <w:sz w:val="24"/>
          <w:szCs w:val="24"/>
        </w:rPr>
        <w:t xml:space="preserve"> a pole </w:t>
      </w:r>
      <w:r w:rsidRPr="0069719D">
        <w:rPr>
          <w:sz w:val="24"/>
          <w:szCs w:val="24"/>
        </w:rPr>
        <w:t xml:space="preserve">EVD0182 - Doručovací adresa vykazující osoby </w:t>
      </w:r>
      <w:r>
        <w:rPr>
          <w:sz w:val="24"/>
          <w:szCs w:val="24"/>
        </w:rPr>
        <w:t>–</w:t>
      </w:r>
      <w:r w:rsidRPr="0069719D">
        <w:rPr>
          <w:sz w:val="24"/>
          <w:szCs w:val="24"/>
        </w:rPr>
        <w:t xml:space="preserve"> stát</w:t>
      </w:r>
      <w:r>
        <w:rPr>
          <w:sz w:val="24"/>
          <w:szCs w:val="24"/>
        </w:rPr>
        <w:t xml:space="preserve"> se stane nepovinným. </w:t>
      </w:r>
    </w:p>
    <w:p w14:paraId="78D0F051" w14:textId="30B37467" w:rsidR="00EC0CDE" w:rsidRDefault="00395723" w:rsidP="00661430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EC0CDE" w:rsidRPr="008E63A2">
        <w:rPr>
          <w:sz w:val="24"/>
          <w:szCs w:val="24"/>
        </w:rPr>
        <w:t>DIS60_41</w:t>
      </w:r>
      <w:r w:rsidR="00EC0CDE">
        <w:rPr>
          <w:sz w:val="24"/>
          <w:szCs w:val="24"/>
        </w:rPr>
        <w:t xml:space="preserve"> d</w:t>
      </w:r>
      <w:r w:rsidR="00EC0AC9">
        <w:rPr>
          <w:sz w:val="24"/>
          <w:szCs w:val="24"/>
        </w:rPr>
        <w:t>ošlo</w:t>
      </w:r>
      <w:r w:rsidR="00EC0CDE">
        <w:rPr>
          <w:sz w:val="24"/>
          <w:szCs w:val="24"/>
        </w:rPr>
        <w:t xml:space="preserve"> k rozšíření </w:t>
      </w:r>
      <w:r w:rsidR="006776D5">
        <w:rPr>
          <w:sz w:val="24"/>
          <w:szCs w:val="24"/>
        </w:rPr>
        <w:t>položek</w:t>
      </w:r>
      <w:r w:rsidR="004249BD">
        <w:rPr>
          <w:sz w:val="24"/>
          <w:szCs w:val="24"/>
        </w:rPr>
        <w:t xml:space="preserve"> číselníku</w:t>
      </w:r>
      <w:r w:rsidR="006776D5">
        <w:rPr>
          <w:sz w:val="24"/>
          <w:szCs w:val="24"/>
        </w:rPr>
        <w:t xml:space="preserve"> v </w:t>
      </w:r>
      <w:r w:rsidR="00EC0CDE" w:rsidRPr="008E63A2">
        <w:rPr>
          <w:sz w:val="24"/>
          <w:szCs w:val="24"/>
        </w:rPr>
        <w:t>D_S_PFCSU_1</w:t>
      </w:r>
      <w:r w:rsidR="00EC0CDE">
        <w:rPr>
          <w:sz w:val="24"/>
          <w:szCs w:val="24"/>
        </w:rPr>
        <w:t xml:space="preserve"> o položku </w:t>
      </w:r>
      <w:r w:rsidR="00EC0CDE" w:rsidRPr="008E63A2">
        <w:rPr>
          <w:sz w:val="24"/>
          <w:szCs w:val="24"/>
        </w:rPr>
        <w:t>332 – Státní příspěvková organizace</w:t>
      </w:r>
      <w:r w:rsidR="00EC0CDE">
        <w:rPr>
          <w:sz w:val="24"/>
          <w:szCs w:val="24"/>
        </w:rPr>
        <w:t xml:space="preserve">. </w:t>
      </w:r>
    </w:p>
    <w:p w14:paraId="02A054C2" w14:textId="2A53F187" w:rsidR="00EC0CDE" w:rsidRDefault="00172D47" w:rsidP="00661430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EC0CDE">
        <w:rPr>
          <w:sz w:val="24"/>
          <w:szCs w:val="24"/>
        </w:rPr>
        <w:t>DIS60_13 do</w:t>
      </w:r>
      <w:r w:rsidR="00EC0AC9">
        <w:rPr>
          <w:sz w:val="24"/>
          <w:szCs w:val="24"/>
        </w:rPr>
        <w:t>šlo</w:t>
      </w:r>
      <w:r w:rsidR="00EC0CDE">
        <w:rPr>
          <w:sz w:val="24"/>
          <w:szCs w:val="24"/>
        </w:rPr>
        <w:t xml:space="preserve"> k rozšíření položek</w:t>
      </w:r>
      <w:r w:rsidR="004249BD">
        <w:rPr>
          <w:sz w:val="24"/>
          <w:szCs w:val="24"/>
        </w:rPr>
        <w:t xml:space="preserve"> číselníku</w:t>
      </w:r>
      <w:r w:rsidR="006776D5">
        <w:rPr>
          <w:sz w:val="24"/>
          <w:szCs w:val="24"/>
        </w:rPr>
        <w:t xml:space="preserve"> v</w:t>
      </w:r>
      <w:r w:rsidR="00EC0CDE">
        <w:rPr>
          <w:sz w:val="24"/>
          <w:szCs w:val="24"/>
        </w:rPr>
        <w:t xml:space="preserve"> </w:t>
      </w:r>
      <w:r w:rsidR="006776D5" w:rsidRPr="00246DEE">
        <w:rPr>
          <w:sz w:val="24"/>
          <w:szCs w:val="24"/>
        </w:rPr>
        <w:t>D_S_RIZODZ_1</w:t>
      </w:r>
      <w:r w:rsidR="006776D5">
        <w:rPr>
          <w:sz w:val="24"/>
          <w:szCs w:val="24"/>
        </w:rPr>
        <w:t xml:space="preserve"> o položku Depositář </w:t>
      </w:r>
      <w:r w:rsidR="00EC0CDE">
        <w:rPr>
          <w:sz w:val="24"/>
          <w:szCs w:val="24"/>
        </w:rPr>
        <w:t>pod polem</w:t>
      </w:r>
      <w:r w:rsidR="00EC0CDE" w:rsidRPr="00246DEE">
        <w:t xml:space="preserve"> </w:t>
      </w:r>
      <w:r w:rsidR="00EC0CDE" w:rsidRPr="00246DEE">
        <w:rPr>
          <w:sz w:val="24"/>
          <w:szCs w:val="24"/>
        </w:rPr>
        <w:t>P0196 - Hlavní pracovní oblasti</w:t>
      </w:r>
      <w:r w:rsidR="006776D5">
        <w:rPr>
          <w:sz w:val="24"/>
          <w:szCs w:val="24"/>
        </w:rPr>
        <w:t>.</w:t>
      </w:r>
      <w:r w:rsidR="00EC0CDE">
        <w:rPr>
          <w:sz w:val="24"/>
          <w:szCs w:val="24"/>
        </w:rPr>
        <w:t xml:space="preserve"> </w:t>
      </w:r>
    </w:p>
    <w:p w14:paraId="46D51D72" w14:textId="77777777" w:rsidR="00200446" w:rsidRPr="00200446" w:rsidRDefault="00200446" w:rsidP="00661430">
      <w:pPr>
        <w:spacing w:before="120" w:after="120" w:line="320" w:lineRule="exact"/>
        <w:jc w:val="both"/>
        <w:rPr>
          <w:b/>
          <w:sz w:val="24"/>
        </w:rPr>
      </w:pPr>
    </w:p>
    <w:p w14:paraId="55157D30" w14:textId="60D94ADE" w:rsidR="008B2C0F" w:rsidRPr="0006230D" w:rsidRDefault="00D52DB2" w:rsidP="00EC0AC9">
      <w:pPr>
        <w:pStyle w:val="Odstavecseseznamem"/>
        <w:numPr>
          <w:ilvl w:val="0"/>
          <w:numId w:val="2"/>
        </w:numPr>
        <w:spacing w:before="120" w:after="120" w:line="320" w:lineRule="exact"/>
        <w:jc w:val="both"/>
        <w:rPr>
          <w:b/>
          <w:sz w:val="24"/>
        </w:rPr>
      </w:pPr>
      <w:r>
        <w:rPr>
          <w:b/>
          <w:sz w:val="24"/>
        </w:rPr>
        <w:t xml:space="preserve">Číselník </w:t>
      </w:r>
      <w:r w:rsidR="003B4B9C" w:rsidRPr="0006230D">
        <w:rPr>
          <w:b/>
          <w:sz w:val="24"/>
        </w:rPr>
        <w:t>BA0505</w:t>
      </w:r>
      <w:r w:rsidR="008B2C0F" w:rsidRPr="0006230D">
        <w:rPr>
          <w:b/>
          <w:sz w:val="24"/>
        </w:rPr>
        <w:t xml:space="preserve"> </w:t>
      </w:r>
      <w:r>
        <w:rPr>
          <w:b/>
          <w:sz w:val="24"/>
        </w:rPr>
        <w:t>-</w:t>
      </w:r>
      <w:r w:rsidR="001C50A3" w:rsidRPr="0006230D">
        <w:rPr>
          <w:b/>
          <w:sz w:val="24"/>
        </w:rPr>
        <w:tab/>
        <w:t>Druhy obchodů vlastní a pro zákazníky</w:t>
      </w:r>
      <w:r w:rsidR="00E45229">
        <w:rPr>
          <w:b/>
          <w:sz w:val="24"/>
        </w:rPr>
        <w:t xml:space="preserve"> </w:t>
      </w:r>
      <w:r w:rsidR="00E45229" w:rsidRPr="002D345A">
        <w:rPr>
          <w:b/>
          <w:color w:val="0070C0"/>
          <w:sz w:val="24"/>
        </w:rPr>
        <w:t>doplnění</w:t>
      </w:r>
    </w:p>
    <w:p w14:paraId="0B0C6641" w14:textId="79E17E1E" w:rsidR="003B4B9C" w:rsidRDefault="008B2C0F" w:rsidP="00661430">
      <w:pPr>
        <w:spacing w:before="120" w:after="0"/>
        <w:jc w:val="both"/>
        <w:rPr>
          <w:sz w:val="24"/>
        </w:rPr>
      </w:pPr>
      <w:r>
        <w:rPr>
          <w:sz w:val="24"/>
        </w:rPr>
        <w:t>V </w:t>
      </w:r>
      <w:r w:rsidR="00C0188C">
        <w:rPr>
          <w:sz w:val="24"/>
        </w:rPr>
        <w:t>m</w:t>
      </w:r>
      <w:r w:rsidR="003B4B9C">
        <w:rPr>
          <w:sz w:val="24"/>
        </w:rPr>
        <w:t>etodice MKT202412</w:t>
      </w:r>
      <w:r>
        <w:rPr>
          <w:sz w:val="24"/>
        </w:rPr>
        <w:t>01</w:t>
      </w:r>
      <w:r w:rsidR="00597684">
        <w:rPr>
          <w:sz w:val="24"/>
        </w:rPr>
        <w:t xml:space="preserve"> a KT20241201</w:t>
      </w:r>
      <w:r>
        <w:rPr>
          <w:sz w:val="24"/>
        </w:rPr>
        <w:t xml:space="preserve"> </w:t>
      </w:r>
      <w:r w:rsidR="001C50A3">
        <w:rPr>
          <w:sz w:val="24"/>
        </w:rPr>
        <w:t>d</w:t>
      </w:r>
      <w:r w:rsidR="00EC0AC9">
        <w:rPr>
          <w:sz w:val="24"/>
        </w:rPr>
        <w:t>ošlo</w:t>
      </w:r>
      <w:r w:rsidR="001C50A3">
        <w:rPr>
          <w:sz w:val="24"/>
        </w:rPr>
        <w:t xml:space="preserve"> k rozšíření číselníku</w:t>
      </w:r>
      <w:r>
        <w:rPr>
          <w:sz w:val="24"/>
        </w:rPr>
        <w:t xml:space="preserve"> </w:t>
      </w:r>
      <w:r w:rsidRPr="008B2C0F">
        <w:rPr>
          <w:sz w:val="24"/>
        </w:rPr>
        <w:t>souvisí</w:t>
      </w:r>
      <w:r>
        <w:rPr>
          <w:sz w:val="24"/>
        </w:rPr>
        <w:t>cí</w:t>
      </w:r>
      <w:r w:rsidR="003B4B9C">
        <w:rPr>
          <w:sz w:val="24"/>
        </w:rPr>
        <w:t xml:space="preserve"> se zavedením dlouhodobého investičního programu</w:t>
      </w:r>
      <w:r w:rsidRPr="008B2C0F">
        <w:rPr>
          <w:sz w:val="24"/>
        </w:rPr>
        <w:t>.</w:t>
      </w:r>
      <w:r w:rsidR="003B4B9C">
        <w:rPr>
          <w:sz w:val="24"/>
        </w:rPr>
        <w:t xml:space="preserve"> </w:t>
      </w:r>
      <w:r w:rsidR="001C50A3">
        <w:rPr>
          <w:sz w:val="24"/>
        </w:rPr>
        <w:t>Jedná se o přidání dvou nových položek:</w:t>
      </w:r>
    </w:p>
    <w:p w14:paraId="77DACFB4" w14:textId="6CDA0C78" w:rsidR="003B4B9C" w:rsidRPr="00EC0AC9" w:rsidRDefault="00332907" w:rsidP="00661430">
      <w:pPr>
        <w:spacing w:before="120" w:after="0"/>
        <w:jc w:val="both"/>
        <w:rPr>
          <w:color w:val="0070C0"/>
          <w:sz w:val="24"/>
        </w:rPr>
      </w:pPr>
      <w:r w:rsidRPr="00EC0AC9">
        <w:rPr>
          <w:color w:val="0070C0"/>
          <w:sz w:val="24"/>
        </w:rPr>
        <w:t xml:space="preserve">05 </w:t>
      </w:r>
      <w:r w:rsidR="003B4B9C" w:rsidRPr="00EC0AC9">
        <w:rPr>
          <w:color w:val="0070C0"/>
          <w:sz w:val="24"/>
        </w:rPr>
        <w:t xml:space="preserve">- </w:t>
      </w:r>
      <w:r w:rsidRPr="00EC0AC9">
        <w:rPr>
          <w:color w:val="0070C0"/>
          <w:sz w:val="24"/>
        </w:rPr>
        <w:t>V rámci jiného než obhospodař. vztahu – Dlouhodobý investiční produkt (DIP)</w:t>
      </w:r>
    </w:p>
    <w:p w14:paraId="2EA1F74E" w14:textId="34192FCA" w:rsidR="008B2C0F" w:rsidRPr="00EC0AC9" w:rsidRDefault="00332907" w:rsidP="00661430">
      <w:pPr>
        <w:spacing w:before="120" w:after="0"/>
        <w:jc w:val="both"/>
        <w:rPr>
          <w:color w:val="0070C0"/>
          <w:sz w:val="24"/>
        </w:rPr>
      </w:pPr>
      <w:r w:rsidRPr="00EC0AC9">
        <w:rPr>
          <w:color w:val="0070C0"/>
          <w:sz w:val="24"/>
        </w:rPr>
        <w:t xml:space="preserve">09 </w:t>
      </w:r>
      <w:r w:rsidR="003B4B9C" w:rsidRPr="00EC0AC9">
        <w:rPr>
          <w:color w:val="0070C0"/>
          <w:sz w:val="24"/>
        </w:rPr>
        <w:t xml:space="preserve">- </w:t>
      </w:r>
      <w:r w:rsidRPr="00EC0AC9">
        <w:rPr>
          <w:color w:val="0070C0"/>
          <w:sz w:val="24"/>
        </w:rPr>
        <w:t>V rámci obhospodařovatelského vztahu – Dlouhodobý investiční produkt (DIP)</w:t>
      </w:r>
    </w:p>
    <w:p w14:paraId="2EB8AC21" w14:textId="7E5FD9DB" w:rsidR="008B2C0F" w:rsidRDefault="003B4B9C" w:rsidP="00EB07B4">
      <w:pPr>
        <w:spacing w:before="120" w:after="120" w:line="320" w:lineRule="exact"/>
        <w:jc w:val="both"/>
        <w:rPr>
          <w:sz w:val="24"/>
        </w:rPr>
      </w:pPr>
      <w:r w:rsidRPr="003B4B9C">
        <w:rPr>
          <w:sz w:val="24"/>
        </w:rPr>
        <w:t>Úprava se</w:t>
      </w:r>
      <w:r>
        <w:rPr>
          <w:sz w:val="24"/>
        </w:rPr>
        <w:t xml:space="preserve"> týká výkazů </w:t>
      </w:r>
      <w:proofErr w:type="spellStart"/>
      <w:r w:rsidRPr="00E43EB0">
        <w:rPr>
          <w:b/>
          <w:sz w:val="24"/>
        </w:rPr>
        <w:t>JISIFE</w:t>
      </w:r>
      <w:r w:rsidR="00D60A88" w:rsidRPr="00E43EB0">
        <w:rPr>
          <w:b/>
          <w:sz w:val="24"/>
        </w:rPr>
        <w:t>xx</w:t>
      </w:r>
      <w:proofErr w:type="spellEnd"/>
      <w:r w:rsidR="00D60A88">
        <w:rPr>
          <w:sz w:val="24"/>
        </w:rPr>
        <w:t xml:space="preserve"> </w:t>
      </w:r>
      <w:r>
        <w:rPr>
          <w:sz w:val="24"/>
        </w:rPr>
        <w:t xml:space="preserve">a výkazu </w:t>
      </w:r>
      <w:r w:rsidRPr="00E43EB0">
        <w:rPr>
          <w:b/>
          <w:sz w:val="24"/>
        </w:rPr>
        <w:t>TRAFIM30</w:t>
      </w:r>
      <w:r>
        <w:rPr>
          <w:sz w:val="24"/>
        </w:rPr>
        <w:t xml:space="preserve">. </w:t>
      </w:r>
    </w:p>
    <w:p w14:paraId="3840882B" w14:textId="77777777" w:rsidR="007E3BA8" w:rsidRPr="00CA534A" w:rsidRDefault="007E3BA8" w:rsidP="00661430">
      <w:pPr>
        <w:spacing w:before="120" w:after="0" w:line="320" w:lineRule="exact"/>
        <w:jc w:val="both"/>
        <w:rPr>
          <w:sz w:val="24"/>
          <w:szCs w:val="24"/>
        </w:rPr>
      </w:pPr>
    </w:p>
    <w:p w14:paraId="3469EEBD" w14:textId="48892194" w:rsidR="00E945A7" w:rsidRPr="00EC0AC9" w:rsidRDefault="00E45229" w:rsidP="00EC0AC9">
      <w:pPr>
        <w:pStyle w:val="Odstavecseseznamem"/>
        <w:numPr>
          <w:ilvl w:val="0"/>
          <w:numId w:val="2"/>
        </w:numPr>
        <w:spacing w:before="120" w:after="120" w:line="320" w:lineRule="exact"/>
        <w:jc w:val="both"/>
        <w:rPr>
          <w:b/>
          <w:color w:val="0070C0"/>
          <w:sz w:val="24"/>
        </w:rPr>
      </w:pPr>
      <w:r>
        <w:rPr>
          <w:b/>
          <w:color w:val="0070C0"/>
          <w:sz w:val="24"/>
        </w:rPr>
        <w:t>D</w:t>
      </w:r>
      <w:r w:rsidRPr="002D345A">
        <w:rPr>
          <w:b/>
          <w:color w:val="0070C0"/>
          <w:sz w:val="24"/>
        </w:rPr>
        <w:t>oplnění</w:t>
      </w:r>
      <w:r>
        <w:rPr>
          <w:b/>
          <w:color w:val="0070C0"/>
          <w:sz w:val="24"/>
        </w:rPr>
        <w:t>:</w:t>
      </w:r>
      <w:r w:rsidRPr="00EC0AC9">
        <w:rPr>
          <w:b/>
          <w:color w:val="0070C0"/>
          <w:sz w:val="24"/>
        </w:rPr>
        <w:t xml:space="preserve"> </w:t>
      </w:r>
      <w:r w:rsidR="00E945A7" w:rsidRPr="00EC0AC9">
        <w:rPr>
          <w:b/>
          <w:color w:val="0070C0"/>
          <w:sz w:val="24"/>
        </w:rPr>
        <w:t>Úprava výkazu ICARAP01</w:t>
      </w:r>
      <w:r>
        <w:rPr>
          <w:b/>
          <w:color w:val="0070C0"/>
          <w:sz w:val="24"/>
        </w:rPr>
        <w:t xml:space="preserve"> </w:t>
      </w:r>
    </w:p>
    <w:p w14:paraId="41BB9AE6" w14:textId="49428344" w:rsidR="00273982" w:rsidRPr="00EC0AC9" w:rsidRDefault="00E945A7" w:rsidP="006A1A70">
      <w:pPr>
        <w:spacing w:before="120" w:after="0"/>
        <w:jc w:val="both"/>
        <w:rPr>
          <w:color w:val="0070C0"/>
          <w:sz w:val="24"/>
        </w:rPr>
      </w:pPr>
      <w:r w:rsidRPr="00EC0AC9">
        <w:rPr>
          <w:color w:val="0070C0"/>
          <w:sz w:val="24"/>
        </w:rPr>
        <w:t>Výkaz ICA</w:t>
      </w:r>
      <w:r w:rsidR="006A1A70" w:rsidRPr="00EC0AC9">
        <w:rPr>
          <w:color w:val="0070C0"/>
          <w:sz w:val="24"/>
        </w:rPr>
        <w:t xml:space="preserve"> </w:t>
      </w:r>
      <w:r w:rsidRPr="00EC0AC9">
        <w:rPr>
          <w:color w:val="0070C0"/>
          <w:sz w:val="24"/>
        </w:rPr>
        <w:t>(ČNB) 01-01 „Informace o systému vnitřně stanoveného kapi</w:t>
      </w:r>
      <w:r w:rsidR="00E45229">
        <w:rPr>
          <w:color w:val="0070C0"/>
          <w:sz w:val="24"/>
        </w:rPr>
        <w:t>tálu a likvidních aktivech“ byl</w:t>
      </w:r>
      <w:r w:rsidRPr="00EC0AC9">
        <w:rPr>
          <w:color w:val="0070C0"/>
          <w:sz w:val="24"/>
        </w:rPr>
        <w:t xml:space="preserve"> v metodice KT20241201 upraven následovně</w:t>
      </w:r>
      <w:r w:rsidR="00E45229">
        <w:rPr>
          <w:color w:val="0070C0"/>
          <w:sz w:val="24"/>
        </w:rPr>
        <w:t xml:space="preserve"> (</w:t>
      </w:r>
      <w:r w:rsidR="00E45229" w:rsidRPr="0022160D">
        <w:rPr>
          <w:b/>
          <w:color w:val="0070C0"/>
          <w:sz w:val="24"/>
        </w:rPr>
        <w:t>zvýšení datového typu</w:t>
      </w:r>
      <w:r w:rsidR="00E45229">
        <w:rPr>
          <w:color w:val="0070C0"/>
          <w:sz w:val="24"/>
        </w:rPr>
        <w:t>)</w:t>
      </w:r>
      <w:r w:rsidRPr="00EC0AC9">
        <w:rPr>
          <w:color w:val="0070C0"/>
          <w:sz w:val="24"/>
        </w:rPr>
        <w:t xml:space="preserve">:  </w:t>
      </w:r>
    </w:p>
    <w:p w14:paraId="679AE588" w14:textId="5DEAB173" w:rsidR="006A1A70" w:rsidRPr="00EC0AC9" w:rsidRDefault="0036332A" w:rsidP="00C01685">
      <w:pPr>
        <w:pStyle w:val="Odstavecseseznamem"/>
        <w:numPr>
          <w:ilvl w:val="0"/>
          <w:numId w:val="26"/>
        </w:numPr>
        <w:jc w:val="both"/>
        <w:rPr>
          <w:i/>
          <w:color w:val="0070C0"/>
          <w:sz w:val="24"/>
          <w:szCs w:val="24"/>
        </w:rPr>
      </w:pPr>
      <w:r w:rsidRPr="00EC0AC9">
        <w:rPr>
          <w:color w:val="0070C0"/>
          <w:sz w:val="24"/>
          <w:szCs w:val="24"/>
        </w:rPr>
        <w:t>V poli</w:t>
      </w:r>
      <w:r w:rsidR="00662A6C" w:rsidRPr="00EC0AC9">
        <w:rPr>
          <w:color w:val="0070C0"/>
          <w:sz w:val="24"/>
          <w:szCs w:val="24"/>
        </w:rPr>
        <w:t xml:space="preserve"> </w:t>
      </w:r>
      <w:r w:rsidR="006A1A70" w:rsidRPr="00E45229">
        <w:rPr>
          <w:b/>
          <w:color w:val="0070C0"/>
          <w:sz w:val="24"/>
          <w:szCs w:val="24"/>
        </w:rPr>
        <w:t>ICA0171</w:t>
      </w:r>
      <w:r w:rsidR="006A1A70" w:rsidRPr="00EC0AC9">
        <w:rPr>
          <w:color w:val="0070C0"/>
          <w:sz w:val="24"/>
          <w:szCs w:val="24"/>
        </w:rPr>
        <w:t xml:space="preserve"> - Odhad o kolik % poklesnou ostatní správní náklady při ukončování činnosti OCP </w:t>
      </w:r>
      <w:r w:rsidR="00662A6C" w:rsidRPr="00EC0AC9">
        <w:rPr>
          <w:color w:val="0070C0"/>
          <w:sz w:val="24"/>
          <w:szCs w:val="24"/>
        </w:rPr>
        <w:t xml:space="preserve">byl </w:t>
      </w:r>
      <w:r w:rsidR="006A1A70" w:rsidRPr="00EC0AC9">
        <w:rPr>
          <w:color w:val="0070C0"/>
          <w:sz w:val="24"/>
          <w:szCs w:val="24"/>
        </w:rPr>
        <w:t xml:space="preserve">změněn datový typ na </w:t>
      </w:r>
      <w:r w:rsidR="006A1A70" w:rsidRPr="00EC0AC9">
        <w:rPr>
          <w:b/>
          <w:color w:val="0070C0"/>
          <w:sz w:val="24"/>
          <w:szCs w:val="24"/>
        </w:rPr>
        <w:t>np15_0_15_0_1</w:t>
      </w:r>
      <w:r w:rsidR="006A1A70" w:rsidRPr="00EC0AC9">
        <w:rPr>
          <w:color w:val="0070C0"/>
          <w:sz w:val="24"/>
          <w:szCs w:val="24"/>
        </w:rPr>
        <w:t xml:space="preserve"> </w:t>
      </w:r>
      <w:r w:rsidR="006A1A70" w:rsidRPr="00EC0AC9">
        <w:rPr>
          <w:i/>
          <w:color w:val="0070C0"/>
          <w:sz w:val="24"/>
          <w:szCs w:val="24"/>
        </w:rPr>
        <w:t>„n15 (maximálně 15 číselných znaků s pohyblivou desetinnou tečkou + 0 až 15 desetinná místa) procenta vykázaná jako koeficient (např.: 12,34% vykázáno jako 0.1234); povolený interval &lt;0;1&gt;“</w:t>
      </w:r>
      <w:r w:rsidRPr="00EC0AC9">
        <w:rPr>
          <w:i/>
          <w:color w:val="0070C0"/>
          <w:sz w:val="24"/>
          <w:szCs w:val="24"/>
        </w:rPr>
        <w:t xml:space="preserve">. </w:t>
      </w:r>
      <w:r w:rsidR="00662A6C" w:rsidRPr="00EC0AC9">
        <w:rPr>
          <w:color w:val="0070C0"/>
          <w:sz w:val="24"/>
          <w:szCs w:val="24"/>
        </w:rPr>
        <w:t>P</w:t>
      </w:r>
      <w:r w:rsidR="006A1A70" w:rsidRPr="00EC0AC9">
        <w:rPr>
          <w:color w:val="0070C0"/>
          <w:sz w:val="24"/>
          <w:szCs w:val="24"/>
        </w:rPr>
        <w:t>ro pole byla doplněna nápověda</w:t>
      </w:r>
      <w:r w:rsidRPr="00EC0AC9">
        <w:rPr>
          <w:color w:val="0070C0"/>
          <w:sz w:val="24"/>
          <w:szCs w:val="24"/>
        </w:rPr>
        <w:t xml:space="preserve">. </w:t>
      </w:r>
      <w:r w:rsidR="00DD42E9" w:rsidRPr="00EC0AC9">
        <w:rPr>
          <w:color w:val="0070C0"/>
          <w:sz w:val="24"/>
          <w:szCs w:val="24"/>
        </w:rPr>
        <w:t xml:space="preserve">Původní datový typ byl </w:t>
      </w:r>
      <w:r w:rsidR="00DD42E9" w:rsidRPr="00EC0AC9">
        <w:rPr>
          <w:b/>
          <w:color w:val="0070C0"/>
          <w:sz w:val="24"/>
          <w:szCs w:val="24"/>
        </w:rPr>
        <w:t>np15_0_15</w:t>
      </w:r>
      <w:r w:rsidR="00C01685" w:rsidRPr="00EC0AC9">
        <w:rPr>
          <w:b/>
          <w:color w:val="0070C0"/>
          <w:sz w:val="24"/>
          <w:szCs w:val="24"/>
        </w:rPr>
        <w:t xml:space="preserve"> </w:t>
      </w:r>
      <w:r w:rsidR="00C01685" w:rsidRPr="00EC0AC9">
        <w:rPr>
          <w:color w:val="0070C0"/>
          <w:sz w:val="24"/>
          <w:szCs w:val="24"/>
        </w:rPr>
        <w:t>„</w:t>
      </w:r>
      <w:r w:rsidR="00C01685" w:rsidRPr="00EC0AC9">
        <w:rPr>
          <w:i/>
          <w:color w:val="0070C0"/>
          <w:sz w:val="24"/>
          <w:szCs w:val="24"/>
        </w:rPr>
        <w:t>n15 (maximálně 15 číselných znaků s pohyblivou desetinnou tečkou + 0 až 15 desetinná místa)“.</w:t>
      </w:r>
    </w:p>
    <w:p w14:paraId="17730430" w14:textId="77777777" w:rsidR="0036332A" w:rsidRPr="00EC0AC9" w:rsidRDefault="0036332A" w:rsidP="0036332A">
      <w:pPr>
        <w:pStyle w:val="Odstavecseseznamem"/>
        <w:numPr>
          <w:ilvl w:val="0"/>
          <w:numId w:val="26"/>
        </w:numPr>
        <w:jc w:val="both"/>
        <w:rPr>
          <w:color w:val="0070C0"/>
          <w:sz w:val="24"/>
          <w:szCs w:val="24"/>
        </w:rPr>
      </w:pPr>
      <w:r w:rsidRPr="00EC0AC9">
        <w:rPr>
          <w:color w:val="0070C0"/>
          <w:sz w:val="24"/>
          <w:szCs w:val="24"/>
        </w:rPr>
        <w:t xml:space="preserve">V poli </w:t>
      </w:r>
      <w:r w:rsidR="006A1A70" w:rsidRPr="00E45229">
        <w:rPr>
          <w:b/>
          <w:color w:val="0070C0"/>
          <w:sz w:val="24"/>
          <w:szCs w:val="24"/>
        </w:rPr>
        <w:t>ICA0189</w:t>
      </w:r>
      <w:r w:rsidR="006A1A70" w:rsidRPr="00EC0AC9">
        <w:rPr>
          <w:color w:val="0070C0"/>
          <w:sz w:val="24"/>
          <w:szCs w:val="24"/>
        </w:rPr>
        <w:t xml:space="preserve"> - Celkový objem obchodů uzavřených na účet zákazníků OCP </w:t>
      </w:r>
      <w:r w:rsidRPr="00EC0AC9">
        <w:rPr>
          <w:color w:val="0070C0"/>
          <w:sz w:val="24"/>
          <w:szCs w:val="24"/>
        </w:rPr>
        <w:t>byl z</w:t>
      </w:r>
      <w:r w:rsidR="006A1A70" w:rsidRPr="00EC0AC9">
        <w:rPr>
          <w:color w:val="0070C0"/>
          <w:sz w:val="24"/>
          <w:szCs w:val="24"/>
        </w:rPr>
        <w:t xml:space="preserve">měněn/navýšen datový typ na </w:t>
      </w:r>
      <w:r w:rsidR="006A1A70" w:rsidRPr="00EC0AC9">
        <w:rPr>
          <w:b/>
          <w:color w:val="0070C0"/>
          <w:sz w:val="24"/>
          <w:szCs w:val="24"/>
        </w:rPr>
        <w:t>n18_0_18</w:t>
      </w:r>
      <w:r w:rsidR="006A1A70" w:rsidRPr="00EC0AC9">
        <w:rPr>
          <w:color w:val="0070C0"/>
        </w:rPr>
        <w:t xml:space="preserve"> „</w:t>
      </w:r>
      <w:r w:rsidR="006A1A70" w:rsidRPr="00EC0AC9">
        <w:rPr>
          <w:i/>
          <w:color w:val="0070C0"/>
          <w:sz w:val="24"/>
          <w:szCs w:val="24"/>
        </w:rPr>
        <w:t>n18 (maximálně 18 číselných znaků s pohyblivou desetinnou tečkou + 0 až 18 desetinná místa)“</w:t>
      </w:r>
      <w:r w:rsidR="006A1A70" w:rsidRPr="00EC0AC9">
        <w:rPr>
          <w:color w:val="0070C0"/>
          <w:sz w:val="24"/>
          <w:szCs w:val="24"/>
        </w:rPr>
        <w:t xml:space="preserve">, původní datový typ byl </w:t>
      </w:r>
      <w:r w:rsidR="006A1A70" w:rsidRPr="00EC0AC9">
        <w:rPr>
          <w:b/>
          <w:color w:val="0070C0"/>
          <w:sz w:val="24"/>
          <w:szCs w:val="24"/>
        </w:rPr>
        <w:t>n15_0_15</w:t>
      </w:r>
      <w:r w:rsidR="006A1A70" w:rsidRPr="00EC0AC9">
        <w:rPr>
          <w:color w:val="0070C0"/>
          <w:sz w:val="24"/>
          <w:szCs w:val="24"/>
        </w:rPr>
        <w:t xml:space="preserve"> </w:t>
      </w:r>
      <w:r w:rsidR="006A1A70" w:rsidRPr="00EC0AC9">
        <w:rPr>
          <w:i/>
          <w:color w:val="0070C0"/>
          <w:sz w:val="24"/>
          <w:szCs w:val="24"/>
        </w:rPr>
        <w:t>„n15 (maximálně 15 číselných znaků s pohyblivou desetinnou tečkou + 0 až 15 desetinná místa)“</w:t>
      </w:r>
      <w:r w:rsidRPr="00EC0AC9">
        <w:rPr>
          <w:color w:val="0070C0"/>
          <w:sz w:val="24"/>
          <w:szCs w:val="24"/>
        </w:rPr>
        <w:t xml:space="preserve"> </w:t>
      </w:r>
    </w:p>
    <w:p w14:paraId="615DE4D2" w14:textId="61BFA3BD" w:rsidR="0036332A" w:rsidRPr="00EC0AC9" w:rsidRDefault="00197728" w:rsidP="00EC57CC">
      <w:pPr>
        <w:ind w:left="360"/>
        <w:jc w:val="both"/>
        <w:rPr>
          <w:color w:val="0070C0"/>
          <w:sz w:val="24"/>
          <w:szCs w:val="24"/>
        </w:rPr>
      </w:pPr>
      <w:r w:rsidRPr="00EC0AC9">
        <w:rPr>
          <w:color w:val="0070C0"/>
          <w:sz w:val="24"/>
          <w:szCs w:val="24"/>
        </w:rPr>
        <w:t>Tyto úpravy byly provedeny v</w:t>
      </w:r>
      <w:r w:rsidR="0036332A" w:rsidRPr="00EC0AC9">
        <w:rPr>
          <w:color w:val="0070C0"/>
          <w:sz w:val="24"/>
          <w:szCs w:val="24"/>
        </w:rPr>
        <w:t> </w:t>
      </w:r>
      <w:r w:rsidRPr="00EC0AC9">
        <w:rPr>
          <w:color w:val="0070C0"/>
          <w:sz w:val="24"/>
          <w:szCs w:val="24"/>
        </w:rPr>
        <w:t>datových</w:t>
      </w:r>
      <w:r w:rsidR="0036332A" w:rsidRPr="00EC0AC9">
        <w:rPr>
          <w:color w:val="0070C0"/>
          <w:sz w:val="24"/>
          <w:szCs w:val="24"/>
        </w:rPr>
        <w:t xml:space="preserve"> oblast</w:t>
      </w:r>
      <w:r w:rsidRPr="00EC0AC9">
        <w:rPr>
          <w:color w:val="0070C0"/>
          <w:sz w:val="24"/>
          <w:szCs w:val="24"/>
        </w:rPr>
        <w:t>ech</w:t>
      </w:r>
      <w:r w:rsidR="0036332A" w:rsidRPr="00EC0AC9">
        <w:rPr>
          <w:color w:val="0070C0"/>
          <w:sz w:val="24"/>
          <w:szCs w:val="24"/>
        </w:rPr>
        <w:t xml:space="preserve"> ICA01_81 Doplňkové ukazatele (750), ICA01_82 Doplňkové ukazatele (150) a ICA01_83 Doplňkové ukazatele (75). </w:t>
      </w:r>
    </w:p>
    <w:p w14:paraId="3267BEBB" w14:textId="56B68FE5" w:rsidR="006A1A70" w:rsidRPr="00EC0AC9" w:rsidRDefault="00EA565B" w:rsidP="00EC57CC">
      <w:pPr>
        <w:jc w:val="both"/>
        <w:rPr>
          <w:color w:val="0070C0"/>
          <w:sz w:val="24"/>
          <w:szCs w:val="24"/>
        </w:rPr>
      </w:pPr>
      <w:r w:rsidRPr="00EC0AC9">
        <w:rPr>
          <w:color w:val="0070C0"/>
          <w:sz w:val="24"/>
          <w:szCs w:val="24"/>
        </w:rPr>
        <w:lastRenderedPageBreak/>
        <w:t xml:space="preserve">Dále byla doplněna </w:t>
      </w:r>
      <w:r w:rsidRPr="00E45229">
        <w:rPr>
          <w:b/>
          <w:color w:val="0070C0"/>
          <w:sz w:val="24"/>
          <w:szCs w:val="24"/>
        </w:rPr>
        <w:t>jedno-výkazová kontrola ICA01_31_1</w:t>
      </w:r>
      <w:r w:rsidRPr="00EC0AC9">
        <w:rPr>
          <w:color w:val="0070C0"/>
          <w:sz w:val="24"/>
          <w:szCs w:val="24"/>
        </w:rPr>
        <w:t xml:space="preserve"> „Vykázaná hodnota v řádku 4 sloupec 1 neodpovídá podílu Celkových dodatečný kapitálový požadavek na Kapitálovém požadavku podle Pilíře 1 (D)“.</w:t>
      </w:r>
    </w:p>
    <w:p w14:paraId="250565BE" w14:textId="77777777" w:rsidR="00867994" w:rsidRDefault="00867994" w:rsidP="00661430">
      <w:pPr>
        <w:spacing w:before="120" w:after="120" w:line="360" w:lineRule="auto"/>
        <w:jc w:val="both"/>
        <w:rPr>
          <w:rFonts w:ascii="Cambria" w:eastAsia="Calibri" w:hAnsi="Cambria" w:cs="Times New Roman"/>
          <w:b/>
          <w:color w:val="1F497D"/>
          <w:sz w:val="26"/>
          <w:szCs w:val="26"/>
        </w:rPr>
      </w:pPr>
    </w:p>
    <w:p w14:paraId="492DF54E" w14:textId="51117013" w:rsidR="00273982" w:rsidRPr="00DE3A35" w:rsidRDefault="00273982" w:rsidP="00661430">
      <w:pPr>
        <w:spacing w:before="120" w:after="120" w:line="360" w:lineRule="auto"/>
        <w:jc w:val="both"/>
        <w:rPr>
          <w:rFonts w:asciiTheme="majorHAnsi" w:hAnsiTheme="majorHAnsi" w:cs="Times New Roman"/>
          <w:b/>
          <w:sz w:val="26"/>
          <w:szCs w:val="26"/>
        </w:rPr>
      </w:pPr>
      <w:bookmarkStart w:id="0" w:name="_GoBack"/>
      <w:bookmarkEnd w:id="0"/>
      <w:r w:rsidRPr="00B978E6">
        <w:rPr>
          <w:rFonts w:ascii="Cambria" w:eastAsia="Calibri" w:hAnsi="Cambria" w:cs="Times New Roman"/>
          <w:b/>
          <w:color w:val="1F497D"/>
          <w:sz w:val="26"/>
          <w:szCs w:val="26"/>
        </w:rPr>
        <w:t>Výkaznictví poskytovatelů služeb skupinového financování</w:t>
      </w:r>
    </w:p>
    <w:p w14:paraId="71E4EB0E" w14:textId="77777777" w:rsidR="00273982" w:rsidRDefault="00273982" w:rsidP="00661430">
      <w:pPr>
        <w:spacing w:before="120" w:after="120" w:line="360" w:lineRule="auto"/>
        <w:jc w:val="both"/>
        <w:rPr>
          <w:b/>
          <w:sz w:val="26"/>
          <w:szCs w:val="26"/>
        </w:rPr>
      </w:pPr>
      <w:r w:rsidRPr="0092625E">
        <w:rPr>
          <w:b/>
          <w:sz w:val="26"/>
          <w:szCs w:val="26"/>
        </w:rPr>
        <w:t>Evropské výkaznictví</w:t>
      </w:r>
    </w:p>
    <w:p w14:paraId="2D202EAE" w14:textId="176AED10" w:rsidR="00501FA0" w:rsidRPr="00DE3A35" w:rsidRDefault="00501FA0" w:rsidP="00661430">
      <w:pPr>
        <w:spacing w:before="120" w:after="120" w:line="320" w:lineRule="exact"/>
        <w:jc w:val="both"/>
        <w:rPr>
          <w:b/>
          <w:sz w:val="24"/>
        </w:rPr>
      </w:pPr>
      <w:r w:rsidRPr="0006230D">
        <w:rPr>
          <w:b/>
          <w:sz w:val="24"/>
        </w:rPr>
        <w:t>Jednotný evropský vykazovací rámec podle nařízení ESCPR</w:t>
      </w:r>
      <w:r w:rsidR="00E45229">
        <w:rPr>
          <w:b/>
          <w:sz w:val="24"/>
        </w:rPr>
        <w:t xml:space="preserve"> </w:t>
      </w:r>
      <w:r w:rsidR="00E45229" w:rsidRPr="00E45229">
        <w:rPr>
          <w:b/>
          <w:color w:val="0070C0"/>
          <w:sz w:val="24"/>
        </w:rPr>
        <w:t>doplnění</w:t>
      </w:r>
    </w:p>
    <w:p w14:paraId="46AB84C7" w14:textId="5F92FA4D" w:rsidR="00501FA0" w:rsidRDefault="00597684" w:rsidP="00661430">
      <w:pPr>
        <w:pStyle w:val="Default"/>
        <w:spacing w:before="120" w:after="120" w:line="276" w:lineRule="auto"/>
        <w:jc w:val="both"/>
        <w:rPr>
          <w:rFonts w:asciiTheme="minorHAnsi" w:hAnsiTheme="minorHAnsi" w:cstheme="minorBidi"/>
          <w:color w:val="auto"/>
          <w:lang w:eastAsia="en-US"/>
        </w:rPr>
      </w:pPr>
      <w:r>
        <w:rPr>
          <w:rFonts w:asciiTheme="minorHAnsi" w:hAnsiTheme="minorHAnsi" w:cstheme="minorBidi"/>
          <w:color w:val="auto"/>
          <w:lang w:eastAsia="en-US"/>
        </w:rPr>
        <w:t xml:space="preserve">Ve výkazu </w:t>
      </w:r>
      <w:r w:rsidR="00EC0AC9" w:rsidRPr="00E43EB0">
        <w:rPr>
          <w:rFonts w:asciiTheme="minorHAnsi" w:hAnsiTheme="minorHAnsi" w:cstheme="minorBidi"/>
          <w:b/>
          <w:color w:val="auto"/>
          <w:lang w:eastAsia="en-US"/>
        </w:rPr>
        <w:t>CRFEU01</w:t>
      </w:r>
      <w:r w:rsidR="00EC0AC9">
        <w:rPr>
          <w:rFonts w:asciiTheme="minorHAnsi" w:hAnsiTheme="minorHAnsi" w:cstheme="minorBidi"/>
          <w:color w:val="auto"/>
          <w:lang w:eastAsia="en-US"/>
        </w:rPr>
        <w:t xml:space="preserve"> </w:t>
      </w:r>
      <w:r>
        <w:rPr>
          <w:rFonts w:asciiTheme="minorHAnsi" w:hAnsiTheme="minorHAnsi" w:cstheme="minorBidi"/>
          <w:color w:val="auto"/>
          <w:lang w:eastAsia="en-US"/>
        </w:rPr>
        <w:t>CRF01</w:t>
      </w:r>
      <w:r w:rsidR="0000657B" w:rsidRPr="00116625">
        <w:rPr>
          <w:rFonts w:asciiTheme="minorHAnsi" w:hAnsiTheme="minorHAnsi" w:cstheme="minorBidi"/>
          <w:color w:val="auto"/>
          <w:lang w:eastAsia="en-US"/>
        </w:rPr>
        <w:t xml:space="preserve"> (ČNB) 01-01 </w:t>
      </w:r>
      <w:r>
        <w:rPr>
          <w:rFonts w:asciiTheme="minorHAnsi" w:hAnsiTheme="minorHAnsi" w:cstheme="minorBidi"/>
          <w:color w:val="auto"/>
          <w:lang w:eastAsia="en-US"/>
        </w:rPr>
        <w:t>„</w:t>
      </w:r>
      <w:r w:rsidR="0000657B" w:rsidRPr="00116625">
        <w:rPr>
          <w:rFonts w:asciiTheme="minorHAnsi" w:hAnsiTheme="minorHAnsi" w:cstheme="minorBidi"/>
          <w:color w:val="auto"/>
          <w:lang w:eastAsia="en-US"/>
        </w:rPr>
        <w:t>Crowdfunding</w:t>
      </w:r>
      <w:r>
        <w:rPr>
          <w:rFonts w:asciiTheme="minorHAnsi" w:hAnsiTheme="minorHAnsi" w:cstheme="minorBidi"/>
          <w:color w:val="auto"/>
          <w:lang w:eastAsia="en-US"/>
        </w:rPr>
        <w:t>“</w:t>
      </w:r>
      <w:r w:rsidR="00575225">
        <w:rPr>
          <w:rFonts w:asciiTheme="minorHAnsi" w:hAnsiTheme="minorHAnsi" w:cstheme="minorBidi"/>
          <w:color w:val="auto"/>
          <w:lang w:eastAsia="en-US"/>
        </w:rPr>
        <w:t xml:space="preserve"> </w:t>
      </w:r>
      <w:r w:rsidR="00EC0AC9">
        <w:rPr>
          <w:rFonts w:asciiTheme="minorHAnsi" w:hAnsiTheme="minorHAnsi" w:cstheme="minorBidi"/>
          <w:color w:val="auto"/>
          <w:lang w:eastAsia="en-US"/>
        </w:rPr>
        <w:t>byly doplněny od metodiky KT20241201jednovýkazové kontroly</w:t>
      </w:r>
      <w:r>
        <w:rPr>
          <w:rFonts w:asciiTheme="minorHAnsi" w:hAnsiTheme="minorHAnsi" w:cstheme="minorBidi"/>
          <w:color w:val="auto"/>
          <w:lang w:eastAsia="en-US"/>
        </w:rPr>
        <w:t xml:space="preserve">. </w:t>
      </w:r>
      <w:r w:rsidR="001834F6">
        <w:rPr>
          <w:rFonts w:asciiTheme="minorHAnsi" w:hAnsiTheme="minorHAnsi" w:cstheme="minorBidi"/>
          <w:color w:val="auto"/>
          <w:lang w:eastAsia="en-US"/>
        </w:rPr>
        <w:t xml:space="preserve"> </w:t>
      </w:r>
      <w:r>
        <w:rPr>
          <w:rFonts w:asciiTheme="minorHAnsi" w:hAnsiTheme="minorHAnsi" w:cstheme="minorBidi"/>
          <w:color w:val="auto"/>
          <w:lang w:eastAsia="en-US"/>
        </w:rPr>
        <w:t>K</w:t>
      </w:r>
      <w:r w:rsidR="001834F6">
        <w:rPr>
          <w:rFonts w:asciiTheme="minorHAnsi" w:hAnsiTheme="minorHAnsi" w:cstheme="minorBidi"/>
          <w:color w:val="auto"/>
          <w:lang w:eastAsia="en-US"/>
        </w:rPr>
        <w:t xml:space="preserve">ontroly </w:t>
      </w:r>
      <w:r>
        <w:rPr>
          <w:rFonts w:asciiTheme="minorHAnsi" w:hAnsiTheme="minorHAnsi" w:cstheme="minorBidi"/>
          <w:color w:val="auto"/>
          <w:lang w:eastAsia="en-US"/>
        </w:rPr>
        <w:t xml:space="preserve">budou validovat </w:t>
      </w:r>
      <w:r w:rsidR="001834F6">
        <w:rPr>
          <w:rFonts w:asciiTheme="minorHAnsi" w:hAnsiTheme="minorHAnsi" w:cstheme="minorBidi"/>
          <w:color w:val="auto"/>
          <w:lang w:eastAsia="en-US"/>
        </w:rPr>
        <w:t xml:space="preserve">správné vyplnění kódu identifikace </w:t>
      </w:r>
      <w:r w:rsidR="001C50A3">
        <w:rPr>
          <w:rFonts w:asciiTheme="minorHAnsi" w:hAnsiTheme="minorHAnsi" w:cstheme="minorBidi"/>
          <w:color w:val="auto"/>
          <w:lang w:eastAsia="en-US"/>
        </w:rPr>
        <w:t xml:space="preserve">vlastníka projektu </w:t>
      </w:r>
      <w:r w:rsidR="001834F6">
        <w:rPr>
          <w:rFonts w:asciiTheme="minorHAnsi" w:hAnsiTheme="minorHAnsi" w:cstheme="minorBidi"/>
          <w:color w:val="auto"/>
          <w:lang w:eastAsia="en-US"/>
        </w:rPr>
        <w:t xml:space="preserve">ve vazbě </w:t>
      </w:r>
      <w:r w:rsidR="001C50A3">
        <w:rPr>
          <w:rFonts w:asciiTheme="minorHAnsi" w:hAnsiTheme="minorHAnsi" w:cstheme="minorBidi"/>
          <w:color w:val="auto"/>
          <w:lang w:eastAsia="en-US"/>
        </w:rPr>
        <w:t>na typ identifikátoru</w:t>
      </w:r>
      <w:r w:rsidR="001834F6">
        <w:rPr>
          <w:rFonts w:asciiTheme="minorHAnsi" w:hAnsiTheme="minorHAnsi" w:cstheme="minorBidi"/>
          <w:color w:val="auto"/>
          <w:lang w:eastAsia="en-US"/>
        </w:rPr>
        <w:t xml:space="preserve"> v datové oblasti </w:t>
      </w:r>
      <w:r w:rsidR="001834F6" w:rsidRPr="001834F6">
        <w:rPr>
          <w:rFonts w:asciiTheme="minorHAnsi" w:hAnsiTheme="minorHAnsi" w:cstheme="minorBidi"/>
          <w:color w:val="auto"/>
          <w:lang w:eastAsia="en-US"/>
        </w:rPr>
        <w:t xml:space="preserve">CRF01_30 </w:t>
      </w:r>
      <w:r>
        <w:rPr>
          <w:rFonts w:asciiTheme="minorHAnsi" w:hAnsiTheme="minorHAnsi" w:cstheme="minorBidi"/>
          <w:color w:val="auto"/>
          <w:lang w:eastAsia="en-US"/>
        </w:rPr>
        <w:t>–</w:t>
      </w:r>
      <w:r w:rsidR="001834F6" w:rsidRPr="001834F6">
        <w:rPr>
          <w:rFonts w:asciiTheme="minorHAnsi" w:hAnsiTheme="minorHAnsi" w:cstheme="minorBidi"/>
          <w:color w:val="auto"/>
          <w:lang w:eastAsia="en-US"/>
        </w:rPr>
        <w:t xml:space="preserve"> </w:t>
      </w:r>
      <w:r>
        <w:rPr>
          <w:rFonts w:asciiTheme="minorHAnsi" w:hAnsiTheme="minorHAnsi" w:cstheme="minorBidi"/>
          <w:color w:val="auto"/>
          <w:lang w:eastAsia="en-US"/>
        </w:rPr>
        <w:t>„</w:t>
      </w:r>
      <w:proofErr w:type="spellStart"/>
      <w:r w:rsidR="001834F6" w:rsidRPr="001834F6">
        <w:rPr>
          <w:rFonts w:asciiTheme="minorHAnsi" w:hAnsiTheme="minorHAnsi" w:cstheme="minorBidi"/>
          <w:color w:val="auto"/>
          <w:lang w:eastAsia="en-US"/>
        </w:rPr>
        <w:t>Information</w:t>
      </w:r>
      <w:proofErr w:type="spellEnd"/>
      <w:r w:rsidR="001834F6" w:rsidRPr="001834F6">
        <w:rPr>
          <w:rFonts w:asciiTheme="minorHAnsi" w:hAnsiTheme="minorHAnsi" w:cstheme="minorBidi"/>
          <w:color w:val="auto"/>
          <w:lang w:eastAsia="en-US"/>
        </w:rPr>
        <w:t xml:space="preserve"> on </w:t>
      </w:r>
      <w:proofErr w:type="spellStart"/>
      <w:r w:rsidR="001834F6" w:rsidRPr="001834F6">
        <w:rPr>
          <w:rFonts w:asciiTheme="minorHAnsi" w:hAnsiTheme="minorHAnsi" w:cstheme="minorBidi"/>
          <w:color w:val="auto"/>
          <w:lang w:eastAsia="en-US"/>
        </w:rPr>
        <w:t>the</w:t>
      </w:r>
      <w:proofErr w:type="spellEnd"/>
      <w:r w:rsidR="001834F6" w:rsidRPr="001834F6">
        <w:rPr>
          <w:rFonts w:asciiTheme="minorHAnsi" w:hAnsiTheme="minorHAnsi" w:cstheme="minorBidi"/>
          <w:color w:val="auto"/>
          <w:lang w:eastAsia="en-US"/>
        </w:rPr>
        <w:t xml:space="preserve"> </w:t>
      </w:r>
      <w:proofErr w:type="spellStart"/>
      <w:r w:rsidR="001834F6" w:rsidRPr="001834F6">
        <w:rPr>
          <w:rFonts w:asciiTheme="minorHAnsi" w:hAnsiTheme="minorHAnsi" w:cstheme="minorBidi"/>
          <w:color w:val="auto"/>
          <w:lang w:eastAsia="en-US"/>
        </w:rPr>
        <w:t>pr</w:t>
      </w:r>
      <w:r w:rsidR="001834F6">
        <w:rPr>
          <w:rFonts w:asciiTheme="minorHAnsi" w:hAnsiTheme="minorHAnsi" w:cstheme="minorBidi"/>
          <w:color w:val="auto"/>
          <w:lang w:eastAsia="en-US"/>
        </w:rPr>
        <w:t>oject</w:t>
      </w:r>
      <w:proofErr w:type="spellEnd"/>
      <w:r w:rsidR="001834F6">
        <w:rPr>
          <w:rFonts w:asciiTheme="minorHAnsi" w:hAnsiTheme="minorHAnsi" w:cstheme="minorBidi"/>
          <w:color w:val="auto"/>
          <w:lang w:eastAsia="en-US"/>
        </w:rPr>
        <w:t xml:space="preserve"> </w:t>
      </w:r>
      <w:proofErr w:type="spellStart"/>
      <w:r w:rsidR="001834F6">
        <w:rPr>
          <w:rFonts w:asciiTheme="minorHAnsi" w:hAnsiTheme="minorHAnsi" w:cstheme="minorBidi"/>
          <w:color w:val="auto"/>
          <w:lang w:eastAsia="en-US"/>
        </w:rPr>
        <w:t>owner</w:t>
      </w:r>
      <w:proofErr w:type="spellEnd"/>
      <w:r w:rsidR="001834F6">
        <w:rPr>
          <w:rFonts w:asciiTheme="minorHAnsi" w:hAnsiTheme="minorHAnsi" w:cstheme="minorBidi"/>
          <w:color w:val="auto"/>
          <w:lang w:eastAsia="en-US"/>
        </w:rPr>
        <w:t xml:space="preserve">(s) </w:t>
      </w:r>
      <w:proofErr w:type="spellStart"/>
      <w:r w:rsidR="001834F6">
        <w:rPr>
          <w:rFonts w:asciiTheme="minorHAnsi" w:hAnsiTheme="minorHAnsi" w:cstheme="minorBidi"/>
          <w:color w:val="auto"/>
          <w:lang w:eastAsia="en-US"/>
        </w:rPr>
        <w:t>of</w:t>
      </w:r>
      <w:proofErr w:type="spellEnd"/>
      <w:r w:rsidR="001834F6">
        <w:rPr>
          <w:rFonts w:asciiTheme="minorHAnsi" w:hAnsiTheme="minorHAnsi" w:cstheme="minorBidi"/>
          <w:color w:val="auto"/>
          <w:lang w:eastAsia="en-US"/>
        </w:rPr>
        <w:t xml:space="preserve"> </w:t>
      </w:r>
      <w:proofErr w:type="spellStart"/>
      <w:r w:rsidR="001834F6">
        <w:rPr>
          <w:rFonts w:asciiTheme="minorHAnsi" w:hAnsiTheme="minorHAnsi" w:cstheme="minorBidi"/>
          <w:color w:val="auto"/>
          <w:lang w:eastAsia="en-US"/>
        </w:rPr>
        <w:t>each</w:t>
      </w:r>
      <w:proofErr w:type="spellEnd"/>
      <w:r w:rsidR="001834F6">
        <w:rPr>
          <w:rFonts w:asciiTheme="minorHAnsi" w:hAnsiTheme="minorHAnsi" w:cstheme="minorBidi"/>
          <w:color w:val="auto"/>
          <w:lang w:eastAsia="en-US"/>
        </w:rPr>
        <w:t xml:space="preserve"> </w:t>
      </w:r>
      <w:proofErr w:type="spellStart"/>
      <w:r w:rsidR="001834F6">
        <w:rPr>
          <w:rFonts w:asciiTheme="minorHAnsi" w:hAnsiTheme="minorHAnsi" w:cstheme="minorBidi"/>
          <w:color w:val="auto"/>
          <w:lang w:eastAsia="en-US"/>
        </w:rPr>
        <w:t>project</w:t>
      </w:r>
      <w:proofErr w:type="spellEnd"/>
      <w:r>
        <w:rPr>
          <w:rFonts w:asciiTheme="minorHAnsi" w:hAnsiTheme="minorHAnsi" w:cstheme="minorBidi"/>
          <w:color w:val="auto"/>
          <w:lang w:eastAsia="en-US"/>
        </w:rPr>
        <w:t>“</w:t>
      </w:r>
      <w:r w:rsidR="001834F6">
        <w:rPr>
          <w:rFonts w:asciiTheme="minorHAnsi" w:hAnsiTheme="minorHAnsi" w:cstheme="minorBidi"/>
          <w:color w:val="auto"/>
          <w:lang w:eastAsia="en-US"/>
        </w:rPr>
        <w:t>.</w:t>
      </w:r>
      <w:r w:rsidR="001C50A3">
        <w:rPr>
          <w:rFonts w:asciiTheme="minorHAnsi" w:hAnsiTheme="minorHAnsi" w:cstheme="minorBidi"/>
          <w:color w:val="auto"/>
          <w:lang w:eastAsia="en-US"/>
        </w:rPr>
        <w:t xml:space="preserve"> </w:t>
      </w:r>
      <w:r w:rsidR="007F2469">
        <w:rPr>
          <w:rFonts w:asciiTheme="minorHAnsi" w:hAnsiTheme="minorHAnsi" w:cstheme="minorBidi"/>
          <w:color w:val="auto"/>
          <w:lang w:eastAsia="en-US"/>
        </w:rPr>
        <w:t>Zároveň v první datové oblasti b</w:t>
      </w:r>
      <w:r w:rsidR="00EC0AC9">
        <w:rPr>
          <w:rFonts w:asciiTheme="minorHAnsi" w:hAnsiTheme="minorHAnsi" w:cstheme="minorBidi"/>
          <w:color w:val="auto"/>
          <w:lang w:eastAsia="en-US"/>
        </w:rPr>
        <w:t>ylo</w:t>
      </w:r>
      <w:r w:rsidR="007F2469">
        <w:rPr>
          <w:rFonts w:asciiTheme="minorHAnsi" w:hAnsiTheme="minorHAnsi" w:cstheme="minorBidi"/>
          <w:color w:val="auto"/>
          <w:lang w:eastAsia="en-US"/>
        </w:rPr>
        <w:t xml:space="preserve"> doplněno jedno pole obsahující informaci, zda má vykazující osoba aktivní projekt nebo ne. Na základě vyplnění pole bude vyžadováno vyplnění dalších datových oblastí. </w:t>
      </w:r>
    </w:p>
    <w:p w14:paraId="3D11AFA5" w14:textId="32D1908C" w:rsidR="00501FA0" w:rsidRPr="00E45229" w:rsidRDefault="008502F9" w:rsidP="00661430">
      <w:pPr>
        <w:spacing w:before="120" w:after="120" w:line="320" w:lineRule="exact"/>
        <w:jc w:val="both"/>
        <w:rPr>
          <w:color w:val="0070C0"/>
          <w:sz w:val="24"/>
          <w:szCs w:val="24"/>
        </w:rPr>
      </w:pPr>
      <w:r w:rsidRPr="00E45229">
        <w:rPr>
          <w:color w:val="0070C0"/>
          <w:sz w:val="24"/>
          <w:szCs w:val="24"/>
        </w:rPr>
        <w:t xml:space="preserve">Ve výkazu </w:t>
      </w:r>
      <w:r w:rsidR="00EC0AC9" w:rsidRPr="00E43EB0">
        <w:rPr>
          <w:b/>
          <w:color w:val="0070C0"/>
          <w:sz w:val="24"/>
          <w:szCs w:val="24"/>
        </w:rPr>
        <w:t>CRFCZ02</w:t>
      </w:r>
      <w:r w:rsidR="00EC0AC9" w:rsidRPr="00E45229">
        <w:rPr>
          <w:color w:val="0070C0"/>
          <w:sz w:val="24"/>
          <w:szCs w:val="24"/>
        </w:rPr>
        <w:t xml:space="preserve"> </w:t>
      </w:r>
      <w:r w:rsidR="009B5B9F" w:rsidRPr="00E45229">
        <w:rPr>
          <w:color w:val="0070C0"/>
          <w:sz w:val="24"/>
          <w:szCs w:val="24"/>
        </w:rPr>
        <w:t xml:space="preserve">CRF (ČNB) 02-01 Informace k plnění obezřetnostních požadavků došlo v datové oblasti CRF02_20 k </w:t>
      </w:r>
      <w:r w:rsidR="00546C6B" w:rsidRPr="00E45229">
        <w:rPr>
          <w:b/>
          <w:color w:val="0070C0"/>
          <w:sz w:val="24"/>
          <w:szCs w:val="24"/>
        </w:rPr>
        <w:t>upravení</w:t>
      </w:r>
      <w:r w:rsidR="009B5B9F" w:rsidRPr="00E45229">
        <w:rPr>
          <w:b/>
          <w:color w:val="0070C0"/>
          <w:sz w:val="24"/>
          <w:szCs w:val="24"/>
        </w:rPr>
        <w:t xml:space="preserve"> názvu ukazatele</w:t>
      </w:r>
      <w:r w:rsidR="009B5B9F" w:rsidRPr="00E45229">
        <w:rPr>
          <w:color w:val="0070C0"/>
          <w:sz w:val="24"/>
          <w:szCs w:val="24"/>
        </w:rPr>
        <w:t xml:space="preserve"> CRF2030 z „(-) Jiná rozdělení zisku a variabilních složky odměn“ na „(-) Jiná rozdělení zisku a variabilní složky odměn“ </w:t>
      </w:r>
    </w:p>
    <w:p w14:paraId="5E11478D" w14:textId="68CE7F2B" w:rsidR="00CA534A" w:rsidRDefault="00CA534A" w:rsidP="00661430">
      <w:pPr>
        <w:spacing w:before="120" w:after="12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93428E" w14:textId="139AAE38" w:rsidR="00501FA0" w:rsidRPr="00AC77AC" w:rsidRDefault="00501FA0" w:rsidP="00661430">
      <w:pPr>
        <w:pStyle w:val="Nadpis2"/>
        <w:spacing w:before="120" w:after="240" w:line="320" w:lineRule="exact"/>
        <w:jc w:val="both"/>
        <w:rPr>
          <w:rStyle w:val="Hypertextovodkaz"/>
          <w:rFonts w:asciiTheme="minorHAnsi" w:hAnsiTheme="minorHAnsi" w:cs="Times New Roman"/>
          <w:b w:val="0"/>
          <w:color w:val="auto"/>
          <w:sz w:val="24"/>
          <w:szCs w:val="24"/>
        </w:rPr>
      </w:pPr>
      <w:r w:rsidRPr="00FC5694">
        <w:rPr>
          <w:rFonts w:asciiTheme="minorHAnsi" w:eastAsiaTheme="minorHAnsi" w:hAnsiTheme="minorHAnsi" w:cs="Times New Roman"/>
          <w:bCs w:val="0"/>
          <w:color w:val="auto"/>
          <w:sz w:val="24"/>
          <w:szCs w:val="24"/>
        </w:rPr>
        <w:t xml:space="preserve">Metodické dotazy k dohledovému výkaznictví </w:t>
      </w:r>
      <w:r>
        <w:rPr>
          <w:rFonts w:asciiTheme="minorHAnsi" w:eastAsiaTheme="minorHAnsi" w:hAnsiTheme="minorHAnsi" w:cs="Times New Roman"/>
          <w:bCs w:val="0"/>
          <w:color w:val="auto"/>
          <w:sz w:val="24"/>
          <w:szCs w:val="24"/>
        </w:rPr>
        <w:t>OCP</w:t>
      </w:r>
      <w:r w:rsidR="00F908AB">
        <w:rPr>
          <w:rFonts w:asciiTheme="minorHAnsi" w:eastAsiaTheme="minorHAnsi" w:hAnsiTheme="minorHAnsi" w:cs="Times New Roman"/>
          <w:bCs w:val="0"/>
          <w:color w:val="auto"/>
          <w:sz w:val="24"/>
          <w:szCs w:val="24"/>
        </w:rPr>
        <w:t>,</w:t>
      </w:r>
      <w:r w:rsidR="008B52E0">
        <w:rPr>
          <w:rFonts w:asciiTheme="minorHAnsi" w:eastAsiaTheme="minorHAnsi" w:hAnsiTheme="minorHAnsi" w:cs="Times New Roman"/>
          <w:bCs w:val="0"/>
          <w:color w:val="auto"/>
          <w:sz w:val="24"/>
          <w:szCs w:val="24"/>
        </w:rPr>
        <w:t xml:space="preserve"> IS/IF </w:t>
      </w:r>
      <w:r w:rsidR="00F908AB" w:rsidRPr="00F908AB">
        <w:rPr>
          <w:rFonts w:asciiTheme="minorHAnsi" w:eastAsiaTheme="minorHAnsi" w:hAnsiTheme="minorHAnsi" w:cs="Times New Roman"/>
          <w:bCs w:val="0"/>
          <w:color w:val="auto"/>
          <w:sz w:val="24"/>
          <w:szCs w:val="24"/>
        </w:rPr>
        <w:t xml:space="preserve">a poskytovatelů služeb skupinového financování </w:t>
      </w:r>
      <w:r w:rsidR="003979B3" w:rsidRPr="00CF26D3">
        <w:rPr>
          <w:rFonts w:asciiTheme="minorHAnsi" w:eastAsiaTheme="minorHAnsi" w:hAnsiTheme="minorHAnsi" w:cs="Times New Roman"/>
          <w:b w:val="0"/>
          <w:bCs w:val="0"/>
          <w:color w:val="auto"/>
          <w:sz w:val="24"/>
          <w:szCs w:val="24"/>
        </w:rPr>
        <w:t>smě</w:t>
      </w:r>
      <w:r w:rsidR="003979B3">
        <w:rPr>
          <w:rFonts w:asciiTheme="minorHAnsi" w:eastAsiaTheme="minorHAnsi" w:hAnsiTheme="minorHAnsi" w:cs="Times New Roman"/>
          <w:b w:val="0"/>
          <w:bCs w:val="0"/>
          <w:color w:val="auto"/>
          <w:sz w:val="24"/>
          <w:szCs w:val="24"/>
        </w:rPr>
        <w:t>r</w:t>
      </w:r>
      <w:r w:rsidR="003979B3" w:rsidRPr="00CF26D3">
        <w:rPr>
          <w:rFonts w:asciiTheme="minorHAnsi" w:eastAsiaTheme="minorHAnsi" w:hAnsiTheme="minorHAnsi" w:cs="Times New Roman"/>
          <w:b w:val="0"/>
          <w:bCs w:val="0"/>
          <w:color w:val="auto"/>
          <w:sz w:val="24"/>
          <w:szCs w:val="24"/>
        </w:rPr>
        <w:t xml:space="preserve">ujte </w:t>
      </w:r>
      <w:r w:rsidRPr="00CF26D3">
        <w:rPr>
          <w:rFonts w:asciiTheme="minorHAnsi" w:eastAsiaTheme="minorHAnsi" w:hAnsiTheme="minorHAnsi" w:cs="Times New Roman"/>
          <w:b w:val="0"/>
          <w:bCs w:val="0"/>
          <w:color w:val="auto"/>
          <w:sz w:val="24"/>
          <w:szCs w:val="24"/>
        </w:rPr>
        <w:t>na adresu</w:t>
      </w:r>
      <w:r w:rsidRPr="009172E0">
        <w:rPr>
          <w:rFonts w:asciiTheme="minorHAnsi" w:eastAsiaTheme="minorHAnsi" w:hAnsiTheme="minorHAnsi" w:cstheme="minorHAnsi"/>
          <w:bCs w:val="0"/>
          <w:color w:val="auto"/>
          <w:sz w:val="24"/>
          <w:szCs w:val="24"/>
        </w:rPr>
        <w:t xml:space="preserve">: </w:t>
      </w:r>
      <w:hyperlink r:id="rId13" w:history="1">
        <w:r w:rsidRPr="00DE3A35">
          <w:rPr>
            <w:rStyle w:val="Hypertextovodkaz"/>
            <w:rFonts w:asciiTheme="minorHAnsi" w:hAnsiTheme="minorHAnsi" w:cstheme="minorHAnsi"/>
            <w:b w:val="0"/>
            <w:sz w:val="24"/>
            <w:szCs w:val="24"/>
          </w:rPr>
          <w:t>kt.stat@cnb.cz</w:t>
        </w:r>
      </w:hyperlink>
    </w:p>
    <w:sectPr w:rsidR="00501FA0" w:rsidRPr="00AC77AC" w:rsidSect="006C421F">
      <w:footerReference w:type="default" r:id="rId14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FD1C7" w14:textId="77777777" w:rsidR="00D5508E" w:rsidRDefault="00D5508E">
      <w:pPr>
        <w:spacing w:after="0" w:line="240" w:lineRule="auto"/>
      </w:pPr>
      <w:r>
        <w:separator/>
      </w:r>
    </w:p>
  </w:endnote>
  <w:endnote w:type="continuationSeparator" w:id="0">
    <w:p w14:paraId="107F8433" w14:textId="77777777" w:rsidR="00D5508E" w:rsidRDefault="00D5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7036577"/>
      <w:docPartObj>
        <w:docPartGallery w:val="Page Numbers (Bottom of Page)"/>
        <w:docPartUnique/>
      </w:docPartObj>
    </w:sdtPr>
    <w:sdtEndPr/>
    <w:sdtContent>
      <w:p w14:paraId="0CB74128" w14:textId="7AD7BD04" w:rsidR="006C421F" w:rsidRDefault="00E726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994">
          <w:rPr>
            <w:noProof/>
          </w:rPr>
          <w:t>1</w:t>
        </w:r>
        <w:r>
          <w:fldChar w:fldCharType="end"/>
        </w:r>
      </w:p>
    </w:sdtContent>
  </w:sdt>
  <w:p w14:paraId="6D4B5AB2" w14:textId="77777777" w:rsidR="006C421F" w:rsidRDefault="006C42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259A9" w14:textId="77777777" w:rsidR="00D5508E" w:rsidRDefault="00D5508E">
      <w:pPr>
        <w:spacing w:after="0" w:line="240" w:lineRule="auto"/>
      </w:pPr>
      <w:r>
        <w:separator/>
      </w:r>
    </w:p>
  </w:footnote>
  <w:footnote w:type="continuationSeparator" w:id="0">
    <w:p w14:paraId="757383D5" w14:textId="77777777" w:rsidR="00D5508E" w:rsidRDefault="00D55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FE9"/>
    <w:multiLevelType w:val="hybridMultilevel"/>
    <w:tmpl w:val="68EEF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195"/>
    <w:multiLevelType w:val="hybridMultilevel"/>
    <w:tmpl w:val="F3467C8A"/>
    <w:lvl w:ilvl="0" w:tplc="F32A47A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67E8"/>
    <w:multiLevelType w:val="hybridMultilevel"/>
    <w:tmpl w:val="0B787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71D7"/>
    <w:multiLevelType w:val="hybridMultilevel"/>
    <w:tmpl w:val="3D429B60"/>
    <w:lvl w:ilvl="0" w:tplc="040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12613E60"/>
    <w:multiLevelType w:val="hybridMultilevel"/>
    <w:tmpl w:val="38463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53965"/>
    <w:multiLevelType w:val="hybridMultilevel"/>
    <w:tmpl w:val="E59E86A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C79DA"/>
    <w:multiLevelType w:val="hybridMultilevel"/>
    <w:tmpl w:val="F5AC6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A237E"/>
    <w:multiLevelType w:val="hybridMultilevel"/>
    <w:tmpl w:val="9AA06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843D8"/>
    <w:multiLevelType w:val="hybridMultilevel"/>
    <w:tmpl w:val="C9D44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A7E1C"/>
    <w:multiLevelType w:val="hybridMultilevel"/>
    <w:tmpl w:val="8056E1A0"/>
    <w:lvl w:ilvl="0" w:tplc="00484B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60642"/>
    <w:multiLevelType w:val="hybridMultilevel"/>
    <w:tmpl w:val="A378C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B1700"/>
    <w:multiLevelType w:val="hybridMultilevel"/>
    <w:tmpl w:val="D6EEE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17FDC"/>
    <w:multiLevelType w:val="hybridMultilevel"/>
    <w:tmpl w:val="BE14B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F5827"/>
    <w:multiLevelType w:val="hybridMultilevel"/>
    <w:tmpl w:val="3216D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A4477"/>
    <w:multiLevelType w:val="hybridMultilevel"/>
    <w:tmpl w:val="57B2DF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72946"/>
    <w:multiLevelType w:val="hybridMultilevel"/>
    <w:tmpl w:val="1C346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D13E9"/>
    <w:multiLevelType w:val="hybridMultilevel"/>
    <w:tmpl w:val="B1EAF238"/>
    <w:lvl w:ilvl="0" w:tplc="FA82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967FC"/>
    <w:multiLevelType w:val="hybridMultilevel"/>
    <w:tmpl w:val="21B21C6C"/>
    <w:lvl w:ilvl="0" w:tplc="E8964DA4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5395D"/>
    <w:multiLevelType w:val="hybridMultilevel"/>
    <w:tmpl w:val="B770E924"/>
    <w:lvl w:ilvl="0" w:tplc="44A60A20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C212B"/>
    <w:multiLevelType w:val="hybridMultilevel"/>
    <w:tmpl w:val="6D523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323E3"/>
    <w:multiLevelType w:val="hybridMultilevel"/>
    <w:tmpl w:val="0C80FF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6167F5"/>
    <w:multiLevelType w:val="hybridMultilevel"/>
    <w:tmpl w:val="C406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D25D2"/>
    <w:multiLevelType w:val="hybridMultilevel"/>
    <w:tmpl w:val="6AFA6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67860"/>
    <w:multiLevelType w:val="hybridMultilevel"/>
    <w:tmpl w:val="7EDADD34"/>
    <w:lvl w:ilvl="0" w:tplc="A962C5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676F7"/>
    <w:multiLevelType w:val="hybridMultilevel"/>
    <w:tmpl w:val="98FEEACC"/>
    <w:lvl w:ilvl="0" w:tplc="6D70E47A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F72468"/>
    <w:multiLevelType w:val="hybridMultilevel"/>
    <w:tmpl w:val="A19082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F74D8"/>
    <w:multiLevelType w:val="hybridMultilevel"/>
    <w:tmpl w:val="243A2662"/>
    <w:lvl w:ilvl="0" w:tplc="DFF0A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B11A8"/>
    <w:multiLevelType w:val="hybridMultilevel"/>
    <w:tmpl w:val="0B7AA0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B419F"/>
    <w:multiLevelType w:val="hybridMultilevel"/>
    <w:tmpl w:val="6E08B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72007"/>
    <w:multiLevelType w:val="hybridMultilevel"/>
    <w:tmpl w:val="BDF05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7"/>
  </w:num>
  <w:num w:numId="4">
    <w:abstractNumId w:val="18"/>
  </w:num>
  <w:num w:numId="5">
    <w:abstractNumId w:val="15"/>
  </w:num>
  <w:num w:numId="6">
    <w:abstractNumId w:val="15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2"/>
  </w:num>
  <w:num w:numId="12">
    <w:abstractNumId w:val="11"/>
  </w:num>
  <w:num w:numId="13">
    <w:abstractNumId w:val="26"/>
  </w:num>
  <w:num w:numId="14">
    <w:abstractNumId w:val="1"/>
  </w:num>
  <w:num w:numId="15">
    <w:abstractNumId w:val="23"/>
  </w:num>
  <w:num w:numId="16">
    <w:abstractNumId w:val="28"/>
  </w:num>
  <w:num w:numId="17">
    <w:abstractNumId w:val="10"/>
  </w:num>
  <w:num w:numId="18">
    <w:abstractNumId w:val="9"/>
  </w:num>
  <w:num w:numId="19">
    <w:abstractNumId w:val="0"/>
  </w:num>
  <w:num w:numId="20">
    <w:abstractNumId w:val="7"/>
  </w:num>
  <w:num w:numId="21">
    <w:abstractNumId w:val="21"/>
  </w:num>
  <w:num w:numId="22">
    <w:abstractNumId w:val="13"/>
  </w:num>
  <w:num w:numId="23">
    <w:abstractNumId w:val="16"/>
  </w:num>
  <w:num w:numId="24">
    <w:abstractNumId w:val="25"/>
  </w:num>
  <w:num w:numId="25">
    <w:abstractNumId w:val="29"/>
  </w:num>
  <w:num w:numId="26">
    <w:abstractNumId w:val="19"/>
  </w:num>
  <w:num w:numId="27">
    <w:abstractNumId w:val="22"/>
  </w:num>
  <w:num w:numId="28">
    <w:abstractNumId w:val="17"/>
  </w:num>
  <w:num w:numId="29">
    <w:abstractNumId w:val="20"/>
  </w:num>
  <w:num w:numId="30">
    <w:abstractNumId w:val="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A0"/>
    <w:rsid w:val="00000421"/>
    <w:rsid w:val="0000657B"/>
    <w:rsid w:val="000149C3"/>
    <w:rsid w:val="0002259F"/>
    <w:rsid w:val="00026EB4"/>
    <w:rsid w:val="000307DF"/>
    <w:rsid w:val="00030B47"/>
    <w:rsid w:val="000334C1"/>
    <w:rsid w:val="00037F64"/>
    <w:rsid w:val="0004053D"/>
    <w:rsid w:val="00043686"/>
    <w:rsid w:val="00046579"/>
    <w:rsid w:val="00052A05"/>
    <w:rsid w:val="00055B9E"/>
    <w:rsid w:val="00056475"/>
    <w:rsid w:val="0006230D"/>
    <w:rsid w:val="00062535"/>
    <w:rsid w:val="00071A65"/>
    <w:rsid w:val="000728A0"/>
    <w:rsid w:val="000761F7"/>
    <w:rsid w:val="000842C0"/>
    <w:rsid w:val="0008610C"/>
    <w:rsid w:val="000916AF"/>
    <w:rsid w:val="00093081"/>
    <w:rsid w:val="000977D6"/>
    <w:rsid w:val="000A1402"/>
    <w:rsid w:val="000A688A"/>
    <w:rsid w:val="000A7A5B"/>
    <w:rsid w:val="000C138E"/>
    <w:rsid w:val="000C5003"/>
    <w:rsid w:val="000D3D48"/>
    <w:rsid w:val="000D7D9C"/>
    <w:rsid w:val="000F3A3D"/>
    <w:rsid w:val="001156F9"/>
    <w:rsid w:val="00116625"/>
    <w:rsid w:val="001240C2"/>
    <w:rsid w:val="001251CF"/>
    <w:rsid w:val="00131840"/>
    <w:rsid w:val="00137978"/>
    <w:rsid w:val="00137F34"/>
    <w:rsid w:val="00141369"/>
    <w:rsid w:val="001625D4"/>
    <w:rsid w:val="00162F20"/>
    <w:rsid w:val="00172D47"/>
    <w:rsid w:val="00180FD2"/>
    <w:rsid w:val="00183027"/>
    <w:rsid w:val="001834F6"/>
    <w:rsid w:val="00183EC4"/>
    <w:rsid w:val="00185C36"/>
    <w:rsid w:val="0018718B"/>
    <w:rsid w:val="001921CF"/>
    <w:rsid w:val="00193280"/>
    <w:rsid w:val="00196AC8"/>
    <w:rsid w:val="001974F9"/>
    <w:rsid w:val="00197728"/>
    <w:rsid w:val="001A17DF"/>
    <w:rsid w:val="001B5706"/>
    <w:rsid w:val="001B5FA7"/>
    <w:rsid w:val="001B7751"/>
    <w:rsid w:val="001C2BC8"/>
    <w:rsid w:val="001C3077"/>
    <w:rsid w:val="001C50A3"/>
    <w:rsid w:val="001C5A08"/>
    <w:rsid w:val="001E0C33"/>
    <w:rsid w:val="001E56D7"/>
    <w:rsid w:val="001F0DDA"/>
    <w:rsid w:val="001F494D"/>
    <w:rsid w:val="001F4A4A"/>
    <w:rsid w:val="001F5285"/>
    <w:rsid w:val="00200446"/>
    <w:rsid w:val="00202EA0"/>
    <w:rsid w:val="00206A42"/>
    <w:rsid w:val="002104C0"/>
    <w:rsid w:val="00210F97"/>
    <w:rsid w:val="00211A2F"/>
    <w:rsid w:val="00212ADB"/>
    <w:rsid w:val="00217413"/>
    <w:rsid w:val="0022160D"/>
    <w:rsid w:val="002252D3"/>
    <w:rsid w:val="00225714"/>
    <w:rsid w:val="00246DEE"/>
    <w:rsid w:val="00252314"/>
    <w:rsid w:val="00260DA6"/>
    <w:rsid w:val="0026501E"/>
    <w:rsid w:val="00267CC0"/>
    <w:rsid w:val="00270E03"/>
    <w:rsid w:val="00271E68"/>
    <w:rsid w:val="00272F6C"/>
    <w:rsid w:val="00273982"/>
    <w:rsid w:val="0027621B"/>
    <w:rsid w:val="002920FA"/>
    <w:rsid w:val="00292874"/>
    <w:rsid w:val="002A1EB0"/>
    <w:rsid w:val="002B30D1"/>
    <w:rsid w:val="002B3D6F"/>
    <w:rsid w:val="002D205D"/>
    <w:rsid w:val="002D345A"/>
    <w:rsid w:val="002D3C5B"/>
    <w:rsid w:val="002D668B"/>
    <w:rsid w:val="002D6F7E"/>
    <w:rsid w:val="002D76CD"/>
    <w:rsid w:val="002E05FE"/>
    <w:rsid w:val="002E147F"/>
    <w:rsid w:val="002E31FD"/>
    <w:rsid w:val="002E3F5E"/>
    <w:rsid w:val="002F7DAA"/>
    <w:rsid w:val="00300D86"/>
    <w:rsid w:val="00305554"/>
    <w:rsid w:val="00312958"/>
    <w:rsid w:val="0032006E"/>
    <w:rsid w:val="003234D1"/>
    <w:rsid w:val="0032480D"/>
    <w:rsid w:val="00331CDE"/>
    <w:rsid w:val="00332907"/>
    <w:rsid w:val="00332B51"/>
    <w:rsid w:val="00336E40"/>
    <w:rsid w:val="00341772"/>
    <w:rsid w:val="003430C4"/>
    <w:rsid w:val="00361F8B"/>
    <w:rsid w:val="0036240E"/>
    <w:rsid w:val="0036332A"/>
    <w:rsid w:val="003656CF"/>
    <w:rsid w:val="00370260"/>
    <w:rsid w:val="003725DA"/>
    <w:rsid w:val="00381126"/>
    <w:rsid w:val="003814DA"/>
    <w:rsid w:val="003822D9"/>
    <w:rsid w:val="00384FA4"/>
    <w:rsid w:val="00386AE2"/>
    <w:rsid w:val="00395723"/>
    <w:rsid w:val="003979B3"/>
    <w:rsid w:val="003A5FE8"/>
    <w:rsid w:val="003B4B9C"/>
    <w:rsid w:val="003B513C"/>
    <w:rsid w:val="003C348B"/>
    <w:rsid w:val="003D3122"/>
    <w:rsid w:val="003D4A54"/>
    <w:rsid w:val="003D5D1E"/>
    <w:rsid w:val="003E0E18"/>
    <w:rsid w:val="003E150F"/>
    <w:rsid w:val="003E3638"/>
    <w:rsid w:val="003E3750"/>
    <w:rsid w:val="003F0086"/>
    <w:rsid w:val="00401162"/>
    <w:rsid w:val="004041DE"/>
    <w:rsid w:val="0040509B"/>
    <w:rsid w:val="00410E7A"/>
    <w:rsid w:val="00411AF6"/>
    <w:rsid w:val="00411F55"/>
    <w:rsid w:val="00417DA9"/>
    <w:rsid w:val="00423269"/>
    <w:rsid w:val="004249BD"/>
    <w:rsid w:val="004459D8"/>
    <w:rsid w:val="00445E0C"/>
    <w:rsid w:val="0046445E"/>
    <w:rsid w:val="00464578"/>
    <w:rsid w:val="00475AF7"/>
    <w:rsid w:val="004808D2"/>
    <w:rsid w:val="00486F52"/>
    <w:rsid w:val="00490E3E"/>
    <w:rsid w:val="004A58D2"/>
    <w:rsid w:val="004B18E6"/>
    <w:rsid w:val="004B52EE"/>
    <w:rsid w:val="004B683E"/>
    <w:rsid w:val="004C5120"/>
    <w:rsid w:val="004D6186"/>
    <w:rsid w:val="00501099"/>
    <w:rsid w:val="00501FA0"/>
    <w:rsid w:val="00506B00"/>
    <w:rsid w:val="00506F95"/>
    <w:rsid w:val="005173E9"/>
    <w:rsid w:val="0052403E"/>
    <w:rsid w:val="00524DCE"/>
    <w:rsid w:val="00534450"/>
    <w:rsid w:val="00536D6B"/>
    <w:rsid w:val="00537BD0"/>
    <w:rsid w:val="005430BD"/>
    <w:rsid w:val="00546C6B"/>
    <w:rsid w:val="00552EC8"/>
    <w:rsid w:val="00560FA9"/>
    <w:rsid w:val="0056651C"/>
    <w:rsid w:val="0057261B"/>
    <w:rsid w:val="00575225"/>
    <w:rsid w:val="00582581"/>
    <w:rsid w:val="00586D89"/>
    <w:rsid w:val="00592E35"/>
    <w:rsid w:val="00597587"/>
    <w:rsid w:val="00597684"/>
    <w:rsid w:val="005A3EBC"/>
    <w:rsid w:val="005A4849"/>
    <w:rsid w:val="005A48FF"/>
    <w:rsid w:val="005A52A9"/>
    <w:rsid w:val="005B1217"/>
    <w:rsid w:val="005B353B"/>
    <w:rsid w:val="005B5287"/>
    <w:rsid w:val="005B6423"/>
    <w:rsid w:val="005B64C9"/>
    <w:rsid w:val="005C4B29"/>
    <w:rsid w:val="005C58F5"/>
    <w:rsid w:val="005D101B"/>
    <w:rsid w:val="005D5059"/>
    <w:rsid w:val="005D679E"/>
    <w:rsid w:val="005E56D9"/>
    <w:rsid w:val="005F11FD"/>
    <w:rsid w:val="005F4F55"/>
    <w:rsid w:val="00601434"/>
    <w:rsid w:val="00601F0A"/>
    <w:rsid w:val="00623685"/>
    <w:rsid w:val="00633906"/>
    <w:rsid w:val="00644701"/>
    <w:rsid w:val="006575E7"/>
    <w:rsid w:val="00661430"/>
    <w:rsid w:val="00662A6C"/>
    <w:rsid w:val="00666E80"/>
    <w:rsid w:val="0066754B"/>
    <w:rsid w:val="006776D5"/>
    <w:rsid w:val="00691D1A"/>
    <w:rsid w:val="00692ED5"/>
    <w:rsid w:val="0069337D"/>
    <w:rsid w:val="006A146C"/>
    <w:rsid w:val="006A1A70"/>
    <w:rsid w:val="006B226A"/>
    <w:rsid w:val="006C3BEB"/>
    <w:rsid w:val="006C41EC"/>
    <w:rsid w:val="006C421F"/>
    <w:rsid w:val="006D6280"/>
    <w:rsid w:val="006E2EFE"/>
    <w:rsid w:val="006E5DEE"/>
    <w:rsid w:val="006E7BE3"/>
    <w:rsid w:val="006F1418"/>
    <w:rsid w:val="006F184C"/>
    <w:rsid w:val="006F59C0"/>
    <w:rsid w:val="00705398"/>
    <w:rsid w:val="007117AD"/>
    <w:rsid w:val="00720CC4"/>
    <w:rsid w:val="00721B6E"/>
    <w:rsid w:val="00726429"/>
    <w:rsid w:val="00731D13"/>
    <w:rsid w:val="00732964"/>
    <w:rsid w:val="00734223"/>
    <w:rsid w:val="00741ED2"/>
    <w:rsid w:val="00742B2F"/>
    <w:rsid w:val="0074553B"/>
    <w:rsid w:val="00757CBE"/>
    <w:rsid w:val="00771C4C"/>
    <w:rsid w:val="00773E0D"/>
    <w:rsid w:val="007756FB"/>
    <w:rsid w:val="0077589E"/>
    <w:rsid w:val="00780947"/>
    <w:rsid w:val="007906CE"/>
    <w:rsid w:val="007922BD"/>
    <w:rsid w:val="00795342"/>
    <w:rsid w:val="007A43EE"/>
    <w:rsid w:val="007B7838"/>
    <w:rsid w:val="007C533B"/>
    <w:rsid w:val="007C75FB"/>
    <w:rsid w:val="007E3BA8"/>
    <w:rsid w:val="007E64B1"/>
    <w:rsid w:val="007F1D51"/>
    <w:rsid w:val="007F2469"/>
    <w:rsid w:val="00801586"/>
    <w:rsid w:val="00801F32"/>
    <w:rsid w:val="008142A0"/>
    <w:rsid w:val="008176DB"/>
    <w:rsid w:val="008262AA"/>
    <w:rsid w:val="00830F5D"/>
    <w:rsid w:val="0083643C"/>
    <w:rsid w:val="00837B22"/>
    <w:rsid w:val="008502F9"/>
    <w:rsid w:val="008633FB"/>
    <w:rsid w:val="00865A4C"/>
    <w:rsid w:val="00867994"/>
    <w:rsid w:val="00870863"/>
    <w:rsid w:val="0087709B"/>
    <w:rsid w:val="00877869"/>
    <w:rsid w:val="008A3432"/>
    <w:rsid w:val="008A3866"/>
    <w:rsid w:val="008A5FE4"/>
    <w:rsid w:val="008A684A"/>
    <w:rsid w:val="008B2C0F"/>
    <w:rsid w:val="008B52E0"/>
    <w:rsid w:val="008B54B5"/>
    <w:rsid w:val="008B5ED7"/>
    <w:rsid w:val="008E5C85"/>
    <w:rsid w:val="008E63A2"/>
    <w:rsid w:val="008F1488"/>
    <w:rsid w:val="008F45C6"/>
    <w:rsid w:val="008F766B"/>
    <w:rsid w:val="00910440"/>
    <w:rsid w:val="00920B45"/>
    <w:rsid w:val="00923AE0"/>
    <w:rsid w:val="00924FF4"/>
    <w:rsid w:val="009267B3"/>
    <w:rsid w:val="00935052"/>
    <w:rsid w:val="009350A2"/>
    <w:rsid w:val="00935A72"/>
    <w:rsid w:val="00946E4F"/>
    <w:rsid w:val="0095185C"/>
    <w:rsid w:val="009563C7"/>
    <w:rsid w:val="00965E38"/>
    <w:rsid w:val="00973FFF"/>
    <w:rsid w:val="0097516D"/>
    <w:rsid w:val="00985B4A"/>
    <w:rsid w:val="00995154"/>
    <w:rsid w:val="00996AB1"/>
    <w:rsid w:val="009A4922"/>
    <w:rsid w:val="009B0562"/>
    <w:rsid w:val="009B5B9F"/>
    <w:rsid w:val="009B6386"/>
    <w:rsid w:val="009C7733"/>
    <w:rsid w:val="009D677F"/>
    <w:rsid w:val="009E4046"/>
    <w:rsid w:val="009E7D01"/>
    <w:rsid w:val="009F6E12"/>
    <w:rsid w:val="009F7944"/>
    <w:rsid w:val="009F7C40"/>
    <w:rsid w:val="00A02592"/>
    <w:rsid w:val="00A218D3"/>
    <w:rsid w:val="00A30BF0"/>
    <w:rsid w:val="00A3273A"/>
    <w:rsid w:val="00A35494"/>
    <w:rsid w:val="00A3573B"/>
    <w:rsid w:val="00A42475"/>
    <w:rsid w:val="00A44FE4"/>
    <w:rsid w:val="00A5432F"/>
    <w:rsid w:val="00A64C8B"/>
    <w:rsid w:val="00A64FDF"/>
    <w:rsid w:val="00A85594"/>
    <w:rsid w:val="00AA0443"/>
    <w:rsid w:val="00AA12A1"/>
    <w:rsid w:val="00AA7C0E"/>
    <w:rsid w:val="00AB5157"/>
    <w:rsid w:val="00AB5434"/>
    <w:rsid w:val="00AC207B"/>
    <w:rsid w:val="00AC40F4"/>
    <w:rsid w:val="00AD4D39"/>
    <w:rsid w:val="00AF3689"/>
    <w:rsid w:val="00B04F40"/>
    <w:rsid w:val="00B11EA6"/>
    <w:rsid w:val="00B1589C"/>
    <w:rsid w:val="00B15B5B"/>
    <w:rsid w:val="00B15EED"/>
    <w:rsid w:val="00B234EA"/>
    <w:rsid w:val="00B24151"/>
    <w:rsid w:val="00B24FD6"/>
    <w:rsid w:val="00B26324"/>
    <w:rsid w:val="00B34054"/>
    <w:rsid w:val="00B36E01"/>
    <w:rsid w:val="00B4239C"/>
    <w:rsid w:val="00B46EDA"/>
    <w:rsid w:val="00B53AD7"/>
    <w:rsid w:val="00B62E62"/>
    <w:rsid w:val="00B757BF"/>
    <w:rsid w:val="00B759DA"/>
    <w:rsid w:val="00B978E6"/>
    <w:rsid w:val="00BA350A"/>
    <w:rsid w:val="00BC08C3"/>
    <w:rsid w:val="00BC759E"/>
    <w:rsid w:val="00BD4781"/>
    <w:rsid w:val="00BE1006"/>
    <w:rsid w:val="00BE4D37"/>
    <w:rsid w:val="00BE7001"/>
    <w:rsid w:val="00BF5345"/>
    <w:rsid w:val="00C01685"/>
    <w:rsid w:val="00C0188C"/>
    <w:rsid w:val="00C01A07"/>
    <w:rsid w:val="00C03A6A"/>
    <w:rsid w:val="00C109B7"/>
    <w:rsid w:val="00C143B3"/>
    <w:rsid w:val="00C1532D"/>
    <w:rsid w:val="00C20846"/>
    <w:rsid w:val="00C30A19"/>
    <w:rsid w:val="00C327C7"/>
    <w:rsid w:val="00C32F7E"/>
    <w:rsid w:val="00C578EF"/>
    <w:rsid w:val="00C6363F"/>
    <w:rsid w:val="00C739ED"/>
    <w:rsid w:val="00C80E50"/>
    <w:rsid w:val="00CA3B63"/>
    <w:rsid w:val="00CA534A"/>
    <w:rsid w:val="00CB4375"/>
    <w:rsid w:val="00CB444A"/>
    <w:rsid w:val="00CE781A"/>
    <w:rsid w:val="00D01885"/>
    <w:rsid w:val="00D0637D"/>
    <w:rsid w:val="00D06EB5"/>
    <w:rsid w:val="00D1400B"/>
    <w:rsid w:val="00D42598"/>
    <w:rsid w:val="00D52DB2"/>
    <w:rsid w:val="00D5508E"/>
    <w:rsid w:val="00D60A88"/>
    <w:rsid w:val="00D64201"/>
    <w:rsid w:val="00D652E1"/>
    <w:rsid w:val="00D66CBF"/>
    <w:rsid w:val="00D73133"/>
    <w:rsid w:val="00D81243"/>
    <w:rsid w:val="00D85221"/>
    <w:rsid w:val="00D92B25"/>
    <w:rsid w:val="00D94753"/>
    <w:rsid w:val="00DA0540"/>
    <w:rsid w:val="00DB1577"/>
    <w:rsid w:val="00DB1841"/>
    <w:rsid w:val="00DB33D9"/>
    <w:rsid w:val="00DC125F"/>
    <w:rsid w:val="00DC1E90"/>
    <w:rsid w:val="00DD1C5C"/>
    <w:rsid w:val="00DD42E9"/>
    <w:rsid w:val="00DF019C"/>
    <w:rsid w:val="00DF2B61"/>
    <w:rsid w:val="00DF72F7"/>
    <w:rsid w:val="00E0334F"/>
    <w:rsid w:val="00E06722"/>
    <w:rsid w:val="00E1475A"/>
    <w:rsid w:val="00E345D4"/>
    <w:rsid w:val="00E356A6"/>
    <w:rsid w:val="00E35E65"/>
    <w:rsid w:val="00E43EB0"/>
    <w:rsid w:val="00E43EC3"/>
    <w:rsid w:val="00E44F19"/>
    <w:rsid w:val="00E45229"/>
    <w:rsid w:val="00E45F65"/>
    <w:rsid w:val="00E66F09"/>
    <w:rsid w:val="00E679FD"/>
    <w:rsid w:val="00E67DC9"/>
    <w:rsid w:val="00E72676"/>
    <w:rsid w:val="00E744BE"/>
    <w:rsid w:val="00E85E6F"/>
    <w:rsid w:val="00E915E6"/>
    <w:rsid w:val="00E91D3C"/>
    <w:rsid w:val="00E945A7"/>
    <w:rsid w:val="00EA0F84"/>
    <w:rsid w:val="00EA1842"/>
    <w:rsid w:val="00EA3E5E"/>
    <w:rsid w:val="00EA528B"/>
    <w:rsid w:val="00EA565B"/>
    <w:rsid w:val="00EB07B4"/>
    <w:rsid w:val="00EB3921"/>
    <w:rsid w:val="00EB57A1"/>
    <w:rsid w:val="00EC0AC9"/>
    <w:rsid w:val="00EC0CDE"/>
    <w:rsid w:val="00EC57CC"/>
    <w:rsid w:val="00EC7EBE"/>
    <w:rsid w:val="00ED7964"/>
    <w:rsid w:val="00ED7D7B"/>
    <w:rsid w:val="00EE2C1F"/>
    <w:rsid w:val="00EE3ADF"/>
    <w:rsid w:val="00EF06AB"/>
    <w:rsid w:val="00EF41CE"/>
    <w:rsid w:val="00EF4F7E"/>
    <w:rsid w:val="00EF52D2"/>
    <w:rsid w:val="00EF7847"/>
    <w:rsid w:val="00F000EC"/>
    <w:rsid w:val="00F02E9D"/>
    <w:rsid w:val="00F03250"/>
    <w:rsid w:val="00F079A8"/>
    <w:rsid w:val="00F07ECD"/>
    <w:rsid w:val="00F15810"/>
    <w:rsid w:val="00F15AF8"/>
    <w:rsid w:val="00F1711B"/>
    <w:rsid w:val="00F2018E"/>
    <w:rsid w:val="00F25E52"/>
    <w:rsid w:val="00F33DDB"/>
    <w:rsid w:val="00F37E61"/>
    <w:rsid w:val="00F4199D"/>
    <w:rsid w:val="00F419FC"/>
    <w:rsid w:val="00F62C56"/>
    <w:rsid w:val="00F648BB"/>
    <w:rsid w:val="00F706AA"/>
    <w:rsid w:val="00F71A3A"/>
    <w:rsid w:val="00F84060"/>
    <w:rsid w:val="00F908AB"/>
    <w:rsid w:val="00F90B15"/>
    <w:rsid w:val="00FB2D4C"/>
    <w:rsid w:val="00FB45B5"/>
    <w:rsid w:val="00FB6947"/>
    <w:rsid w:val="00FE5C68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6C8EA0"/>
  <w15:docId w15:val="{DA88EEE9-68C6-4654-AA99-5EFE92B4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1FA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947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1FA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1FA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01F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1F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1FA0"/>
    <w:rPr>
      <w:sz w:val="20"/>
      <w:szCs w:val="20"/>
    </w:rPr>
  </w:style>
  <w:style w:type="paragraph" w:styleId="Odstavecseseznamem">
    <w:name w:val="List Paragraph"/>
    <w:aliases w:val="Paragraphe EI,Paragraphe de liste1,EC,Paragraphe de liste,Dot pt,F5 List Paragraph,List Paragraph1,Normal numbered,No Spacing1,List Paragraph Char Char Char,Indicator Text,Numbered Para 1,Bullet 1,Bullet Points,MAIN CONTENT,List 1,3"/>
    <w:basedOn w:val="Normln"/>
    <w:link w:val="OdstavecseseznamemChar"/>
    <w:uiPriority w:val="34"/>
    <w:qFormat/>
    <w:rsid w:val="00501FA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01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FA0"/>
  </w:style>
  <w:style w:type="character" w:styleId="Hypertextovodkaz">
    <w:name w:val="Hyperlink"/>
    <w:basedOn w:val="Standardnpsmoodstavce"/>
    <w:uiPriority w:val="99"/>
    <w:unhideWhenUsed/>
    <w:rsid w:val="00501FA0"/>
    <w:rPr>
      <w:color w:val="0563C1" w:themeColor="hyperlink"/>
      <w:u w:val="single"/>
    </w:rPr>
  </w:style>
  <w:style w:type="paragraph" w:customStyle="1" w:styleId="Default">
    <w:name w:val="Default"/>
    <w:basedOn w:val="Normln"/>
    <w:rsid w:val="00501FA0"/>
    <w:pPr>
      <w:autoSpaceDE w:val="0"/>
      <w:autoSpaceDN w:val="0"/>
      <w:spacing w:after="0" w:line="240" w:lineRule="auto"/>
    </w:pPr>
    <w:rPr>
      <w:rFonts w:ascii="Verdana" w:hAnsi="Verdana" w:cs="Times New Roman"/>
      <w:color w:val="000000"/>
      <w:sz w:val="24"/>
      <w:szCs w:val="24"/>
      <w:lang w:eastAsia="zh-CN"/>
    </w:rPr>
  </w:style>
  <w:style w:type="character" w:customStyle="1" w:styleId="OdstavecseseznamemChar">
    <w:name w:val="Odstavec se seznamem Char"/>
    <w:aliases w:val="Paragraphe EI Char,Paragraphe de liste1 Char,EC Char,Paragraphe de liste Char,Dot pt Char,F5 List Paragraph Char,List Paragraph1 Char,Normal numbered Char,No Spacing1 Char,List Paragraph Char Char Char Char,Indicator Text Char"/>
    <w:basedOn w:val="Standardnpsmoodstavce"/>
    <w:link w:val="Odstavecseseznamem"/>
    <w:uiPriority w:val="34"/>
    <w:qFormat/>
    <w:locked/>
    <w:rsid w:val="00501FA0"/>
  </w:style>
  <w:style w:type="paragraph" w:styleId="Textbubliny">
    <w:name w:val="Balloon Text"/>
    <w:basedOn w:val="Normln"/>
    <w:link w:val="TextbublinyChar"/>
    <w:uiPriority w:val="99"/>
    <w:semiHidden/>
    <w:unhideWhenUsed/>
    <w:rsid w:val="0050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FA0"/>
    <w:rPr>
      <w:rFonts w:ascii="Segoe UI" w:hAnsi="Segoe UI" w:cs="Segoe UI"/>
      <w:sz w:val="18"/>
      <w:szCs w:val="18"/>
    </w:rPr>
  </w:style>
  <w:style w:type="paragraph" w:customStyle="1" w:styleId="NadpisMN">
    <w:name w:val="Nadpis_MN"/>
    <w:basedOn w:val="Nzev"/>
    <w:next w:val="Normln"/>
    <w:qFormat/>
    <w:rsid w:val="00501FA0"/>
    <w:pPr>
      <w:pBdr>
        <w:bottom w:val="single" w:sz="8" w:space="4" w:color="5B9BD5" w:themeColor="accent1"/>
      </w:pBdr>
      <w:spacing w:before="240" w:after="240"/>
    </w:pPr>
    <w:rPr>
      <w:rFonts w:ascii="Calibri" w:hAnsi="Calibri"/>
      <w:b/>
      <w:caps/>
      <w:color w:val="323E4F" w:themeColor="text2" w:themeShade="BF"/>
      <w:spacing w:val="5"/>
      <w:sz w:val="22"/>
      <w:szCs w:val="52"/>
    </w:rPr>
  </w:style>
  <w:style w:type="paragraph" w:styleId="Nzev">
    <w:name w:val="Title"/>
    <w:basedOn w:val="Normln"/>
    <w:next w:val="Normln"/>
    <w:link w:val="NzevChar"/>
    <w:uiPriority w:val="10"/>
    <w:qFormat/>
    <w:rsid w:val="00501F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1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F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FA0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70E03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3979B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qFormat/>
    <w:rsid w:val="001E5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E56D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Reference Number,Footnote Reference_LVL6,Footnote Reference_LVL61,Footnote Reference_LVL62,Footnote Reference_LVL63,Footnote Reference_LVL64,Footnote symbol,Footnote reference number,Fußnotenzeichen3,Char1"/>
    <w:uiPriority w:val="99"/>
    <w:qFormat/>
    <w:rsid w:val="001E56D7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D947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a.europa.eu/risk-and-data-analysis/reporting-frameworks/reporting-framework-35" TargetMode="External"/><Relationship Id="rId13" Type="http://schemas.openxmlformats.org/officeDocument/2006/relationships/hyperlink" Target="mailto:kt.stat@cn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CS/ALL/?uri=CELEX%3A32021R045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ba.europa.eu/risk-and-data-analysis/reporting-frameworks/reporting-framework-4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ba.europa.eu/risk-and-data-analysis/reporting-frameworks/reporting-framework-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ba.europa.eu/sites/default/files/2023-12/213cc021-d991-43ed-977d-c60245301e70/Final%20report%20on%20Guidelines%20on%20the%20diversity%20benchmarking%20exercise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A2914-1950-4649-AF92-A0FC52BB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1750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Schillerová Pavla</dc:creator>
  <cp:keywords/>
  <dc:description/>
  <cp:lastModifiedBy>Kellnerová Marcela</cp:lastModifiedBy>
  <cp:revision>42</cp:revision>
  <dcterms:created xsi:type="dcterms:W3CDTF">2024-09-17T08:16:00Z</dcterms:created>
  <dcterms:modified xsi:type="dcterms:W3CDTF">2024-10-08T11:53:00Z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2024-09-06T14:50:08Z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32487268-f7d0-46dd-b8a6-a75431b953bc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